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23" w:rsidRDefault="00E00C23" w:rsidP="003575F9">
      <w:bookmarkStart w:id="0" w:name="_GoBack"/>
      <w:bookmarkEnd w:id="0"/>
    </w:p>
    <w:p w:rsidR="00E00C23" w:rsidRDefault="00E00C23" w:rsidP="003575F9"/>
    <w:p w:rsidR="00E00C23" w:rsidRDefault="00E00C23" w:rsidP="003575F9"/>
    <w:p w:rsidR="00E00C23" w:rsidRDefault="00E00C23" w:rsidP="003575F9"/>
    <w:p w:rsidR="00E00C23" w:rsidRDefault="00E00C23" w:rsidP="003575F9"/>
    <w:p w:rsidR="00E00C23" w:rsidRDefault="00E00C23" w:rsidP="003575F9"/>
    <w:p w:rsidR="00E00C23" w:rsidRPr="00E00C23" w:rsidRDefault="00E00C23" w:rsidP="003575F9"/>
    <w:p w:rsidR="00E00C23" w:rsidRDefault="00E00C23" w:rsidP="003575F9"/>
    <w:p w:rsidR="00E00C23" w:rsidRDefault="00E00C23" w:rsidP="00E00C23">
      <w:pPr>
        <w:pStyle w:val="Ttulo2"/>
        <w:jc w:val="center"/>
        <w:rPr>
          <w:sz w:val="48"/>
          <w:szCs w:val="48"/>
        </w:rPr>
      </w:pPr>
      <w:r>
        <w:rPr>
          <w:sz w:val="48"/>
          <w:szCs w:val="48"/>
        </w:rPr>
        <w:t xml:space="preserve">APENDICE </w:t>
      </w:r>
      <w:r w:rsidR="00124FA7">
        <w:rPr>
          <w:sz w:val="48"/>
          <w:szCs w:val="48"/>
        </w:rPr>
        <w:t>7.</w:t>
      </w:r>
      <w:r w:rsidR="00394286">
        <w:rPr>
          <w:sz w:val="48"/>
          <w:szCs w:val="48"/>
        </w:rPr>
        <w:t>11.</w:t>
      </w:r>
    </w:p>
    <w:p w:rsidR="00E00C23" w:rsidRDefault="00E00C23" w:rsidP="00E00C23"/>
    <w:p w:rsidR="00E00C23" w:rsidRPr="00E00C23" w:rsidRDefault="00124FA7" w:rsidP="00E00C23">
      <w:pPr>
        <w:jc w:val="center"/>
        <w:rPr>
          <w:b/>
          <w:color w:val="00B0F0"/>
          <w:sz w:val="36"/>
        </w:rPr>
        <w:sectPr w:rsidR="00E00C23" w:rsidRPr="00E00C23">
          <w:headerReference w:type="default" r:id="rId6"/>
          <w:footerReference w:type="default" r:id="rId7"/>
          <w:pgSz w:w="12240" w:h="15840"/>
          <w:pgMar w:top="1417" w:right="1701" w:bottom="1417" w:left="1701" w:header="708" w:footer="708" w:gutter="0"/>
          <w:cols w:space="708"/>
          <w:docGrid w:linePitch="360"/>
        </w:sectPr>
      </w:pPr>
      <w:r w:rsidRPr="00124FA7">
        <w:rPr>
          <w:b/>
          <w:color w:val="00B0F0"/>
          <w:sz w:val="36"/>
        </w:rPr>
        <w:t>Análisis de alteración para cada estación de control</w:t>
      </w:r>
      <w:r w:rsidR="00E00C23" w:rsidRPr="00E00C23">
        <w:rPr>
          <w:b/>
          <w:color w:val="00B0F0"/>
          <w:sz w:val="36"/>
        </w:rPr>
        <w:t xml:space="preserve"> </w:t>
      </w:r>
    </w:p>
    <w:p w:rsidR="00F73027" w:rsidRDefault="001B3F72" w:rsidP="001B3F72">
      <w:pPr>
        <w:pStyle w:val="Ttulo1"/>
      </w:pPr>
      <w:r>
        <w:lastRenderedPageBreak/>
        <w:t>Estación 27001 “Martínez de la Torre”</w:t>
      </w:r>
    </w:p>
    <w:p w:rsidR="001B3F72" w:rsidRDefault="001B3F72" w:rsidP="001B3F72"/>
    <w:p w:rsidR="001B3F72" w:rsidRDefault="001B3F72" w:rsidP="001B3F72">
      <w:r>
        <w:t>La estación hidrométrica 27001 “Martínez de la Torre” se encuentra en la corriente del río Bobos, que corresponde a la subcuenca Río Bobos. En la corriente del río se construyó la presa hidroeléctrica El Encanto en 1948, con lo que a partir de esa fecha se presume se inició la alteración del régimen hidrológico. En contra parte los registros de la estación dieron inició en el año de 1953 por lo que no se puede generar un análisis pre y post impacto.</w:t>
      </w:r>
    </w:p>
    <w:p w:rsidR="001B3F72" w:rsidRDefault="001B3F72" w:rsidP="001B3F72">
      <w:r>
        <w:t xml:space="preserve">En la </w:t>
      </w:r>
      <w:r>
        <w:fldChar w:fldCharType="begin"/>
      </w:r>
      <w:r>
        <w:instrText xml:space="preserve"> REF _Ref474343808 \h  \* MERGEFORMAT </w:instrText>
      </w:r>
      <w:r>
        <w:fldChar w:fldCharType="separate"/>
      </w:r>
      <w:r>
        <w:t xml:space="preserve">Fig. </w:t>
      </w:r>
      <w:r>
        <w:rPr>
          <w:noProof/>
        </w:rPr>
        <w:t>1</w:t>
      </w:r>
      <w:r>
        <w:fldChar w:fldCharType="end"/>
      </w:r>
      <w:r>
        <w:t xml:space="preserve"> se muestra la serie histórica de los datos hidrométricos de la estación 27001 que corresponde al periodo 1953-2011. </w:t>
      </w:r>
    </w:p>
    <w:p w:rsidR="001B3F72" w:rsidRDefault="001B3F72" w:rsidP="001B3F72">
      <w:pPr>
        <w:keepNext/>
      </w:pPr>
      <w:r>
        <w:rPr>
          <w:noProof/>
          <w:lang w:val="es-MX" w:eastAsia="es-MX"/>
        </w:rPr>
        <w:drawing>
          <wp:inline distT="0" distB="0" distL="0" distR="0" wp14:anchorId="7FFD84ED" wp14:editId="3BE1736E">
            <wp:extent cx="5943600" cy="17386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38630"/>
                    </a:xfrm>
                    <a:prstGeom prst="rect">
                      <a:avLst/>
                    </a:prstGeom>
                  </pic:spPr>
                </pic:pic>
              </a:graphicData>
            </a:graphic>
          </wp:inline>
        </w:drawing>
      </w:r>
    </w:p>
    <w:p w:rsidR="001B3F72" w:rsidRDefault="001B3F72" w:rsidP="001B3F72">
      <w:pPr>
        <w:pStyle w:val="Descripcin"/>
        <w:jc w:val="center"/>
      </w:pPr>
      <w:bookmarkStart w:id="1" w:name="_Ref474343808"/>
      <w:r>
        <w:t xml:space="preserve">Fig. </w:t>
      </w:r>
      <w:r>
        <w:fldChar w:fldCharType="begin"/>
      </w:r>
      <w:r>
        <w:instrText xml:space="preserve"> SEQ Fig. \* ARABIC </w:instrText>
      </w:r>
      <w:r>
        <w:fldChar w:fldCharType="separate"/>
      </w:r>
      <w:r>
        <w:rPr>
          <w:noProof/>
        </w:rPr>
        <w:t>1</w:t>
      </w:r>
      <w:r>
        <w:rPr>
          <w:noProof/>
        </w:rPr>
        <w:fldChar w:fldCharType="end"/>
      </w:r>
      <w:bookmarkEnd w:id="1"/>
      <w:r>
        <w:t xml:space="preserve">. </w:t>
      </w:r>
      <w:r w:rsidRPr="00D00CD1">
        <w:t xml:space="preserve"> Datos históricos hi</w:t>
      </w:r>
      <w:r>
        <w:t>drométricos de la estación 27001</w:t>
      </w:r>
      <w:r w:rsidRPr="00D00CD1">
        <w:t xml:space="preserve"> "</w:t>
      </w:r>
      <w:r>
        <w:t>Martínez de la Torre</w:t>
      </w:r>
      <w:r w:rsidRPr="00D00CD1">
        <w:t>".</w:t>
      </w:r>
    </w:p>
    <w:p w:rsidR="001B3F72" w:rsidRDefault="001B3F72" w:rsidP="001B3F72"/>
    <w:p w:rsidR="001B3F72" w:rsidRDefault="001B3F72" w:rsidP="001B3F72">
      <w:pPr>
        <w:pStyle w:val="Ttulo1"/>
      </w:pPr>
      <w:r>
        <w:t xml:space="preserve">Estación </w:t>
      </w:r>
      <w:r w:rsidRPr="001B3F72">
        <w:t>27005</w:t>
      </w:r>
      <w:r>
        <w:t xml:space="preserve"> “Libertad”</w:t>
      </w:r>
    </w:p>
    <w:p w:rsidR="001B3F72" w:rsidRDefault="001B3F72" w:rsidP="001B3F72">
      <w:r>
        <w:t xml:space="preserve">La estación hidrométrica 27005 “Libertad” se encuentra en la corriente del río Quilate, que corresponde a la </w:t>
      </w:r>
      <w:proofErr w:type="spellStart"/>
      <w:r>
        <w:t>subcuenca</w:t>
      </w:r>
      <w:proofErr w:type="spellEnd"/>
      <w:r>
        <w:t xml:space="preserve"> </w:t>
      </w:r>
      <w:r w:rsidRPr="00064D9D">
        <w:t xml:space="preserve">Río </w:t>
      </w:r>
      <w:proofErr w:type="spellStart"/>
      <w:r w:rsidRPr="00064D9D">
        <w:t>Nautla</w:t>
      </w:r>
      <w:proofErr w:type="spellEnd"/>
      <w:r>
        <w:t xml:space="preserve">. Para el caso de la corriente en la que se encuentra esta estación no hay infraestructura hidráulica que generé una alteración en el régimen hidrológico. </w:t>
      </w:r>
    </w:p>
    <w:p w:rsidR="001B3F72" w:rsidRDefault="001B3F72" w:rsidP="001B3F72">
      <w:r>
        <w:t xml:space="preserve">En la </w:t>
      </w:r>
      <w:r w:rsidR="00632FD9">
        <w:t>Fig. 2</w:t>
      </w:r>
      <w:r>
        <w:t xml:space="preserve"> se muestra la serie histórica de los datos hidrométricos de la estación 27005 que corresponde al periodo 1959-2003. </w:t>
      </w:r>
    </w:p>
    <w:p w:rsidR="001B3F72" w:rsidRDefault="001B3F72" w:rsidP="001B3F72">
      <w:r>
        <w:rPr>
          <w:noProof/>
          <w:lang w:val="es-MX" w:eastAsia="es-MX"/>
        </w:rPr>
        <w:lastRenderedPageBreak/>
        <w:drawing>
          <wp:inline distT="0" distB="0" distL="0" distR="0" wp14:anchorId="33E6244C" wp14:editId="1F0B4DDB">
            <wp:extent cx="5943600" cy="18262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826260"/>
                    </a:xfrm>
                    <a:prstGeom prst="rect">
                      <a:avLst/>
                    </a:prstGeom>
                  </pic:spPr>
                </pic:pic>
              </a:graphicData>
            </a:graphic>
          </wp:inline>
        </w:drawing>
      </w:r>
    </w:p>
    <w:p w:rsidR="001B3F72" w:rsidRDefault="001B3F72" w:rsidP="001B3F72">
      <w:pPr>
        <w:pStyle w:val="Descripcin"/>
        <w:jc w:val="center"/>
      </w:pPr>
      <w:r>
        <w:t xml:space="preserve">Fig. </w:t>
      </w:r>
      <w:r>
        <w:fldChar w:fldCharType="begin"/>
      </w:r>
      <w:r>
        <w:instrText xml:space="preserve"> SEQ Fig. \* ARABIC </w:instrText>
      </w:r>
      <w:r>
        <w:fldChar w:fldCharType="separate"/>
      </w:r>
      <w:r w:rsidR="00632FD9">
        <w:rPr>
          <w:noProof/>
        </w:rPr>
        <w:t>2</w:t>
      </w:r>
      <w:r>
        <w:rPr>
          <w:noProof/>
        </w:rPr>
        <w:fldChar w:fldCharType="end"/>
      </w:r>
      <w:r>
        <w:t xml:space="preserve">. </w:t>
      </w:r>
      <w:r w:rsidRPr="00D00CD1">
        <w:t xml:space="preserve"> Datos históricos hi</w:t>
      </w:r>
      <w:r>
        <w:t>drométricos de la estación 27005</w:t>
      </w:r>
      <w:r w:rsidRPr="00D00CD1">
        <w:t xml:space="preserve"> "</w:t>
      </w:r>
      <w:r>
        <w:t>Libertad</w:t>
      </w:r>
      <w:r w:rsidRPr="00D00CD1">
        <w:t>".</w:t>
      </w:r>
    </w:p>
    <w:p w:rsidR="001B3F72" w:rsidRDefault="001B3F72" w:rsidP="001B3F72">
      <w:r>
        <w:t xml:space="preserve">En la </w:t>
      </w:r>
      <w:r>
        <w:fldChar w:fldCharType="begin"/>
      </w:r>
      <w:r>
        <w:instrText xml:space="preserve"> REF _Ref474344721 \h  \* MERGEFORMAT </w:instrText>
      </w:r>
      <w:r>
        <w:fldChar w:fldCharType="separate"/>
      </w:r>
      <w:r w:rsidR="00632FD9">
        <w:t xml:space="preserve">Fig. </w:t>
      </w:r>
      <w:r w:rsidR="00632FD9">
        <w:rPr>
          <w:noProof/>
        </w:rPr>
        <w:t>3</w:t>
      </w:r>
      <w:r>
        <w:fldChar w:fldCharType="end"/>
      </w:r>
      <w:r>
        <w:t xml:space="preserve"> se muestran los percentiles 10 y 90 que marca la NOM 159 y los percentiles 25 y 75 que recomienda </w:t>
      </w:r>
      <w:r w:rsidRPr="008D7E8C">
        <w:t>Richter</w:t>
      </w:r>
      <w:r>
        <w:t xml:space="preserve"> como umbrales para determinar la alteración de un régimen hidrológico, así como el RHN para la estación 27005.</w:t>
      </w:r>
    </w:p>
    <w:p w:rsidR="001B3F72" w:rsidRDefault="001B3F72" w:rsidP="001B3F72">
      <w:r>
        <w:t xml:space="preserve">Como se observa, el régimen hidrológico se encuentra dentro de los rangos que proponen tanto Richter como la NOM 159. No obstante, para los meses de enero a abril y junio los valores se encuentran próximos sobrepasar el límite inferior del percentil 25 y en el mes de mayo el percentil 75.  </w:t>
      </w:r>
    </w:p>
    <w:p w:rsidR="001B3F72" w:rsidRPr="00EF0799" w:rsidRDefault="001B3F72" w:rsidP="001B3F72">
      <w:pPr>
        <w:tabs>
          <w:tab w:val="left" w:pos="1030"/>
        </w:tabs>
      </w:pPr>
      <w:r>
        <w:tab/>
      </w:r>
      <w:r>
        <w:rPr>
          <w:noProof/>
          <w:lang w:val="es-MX" w:eastAsia="es-MX"/>
        </w:rPr>
        <w:drawing>
          <wp:inline distT="0" distB="0" distL="0" distR="0" wp14:anchorId="0FB680A9" wp14:editId="67728C6A">
            <wp:extent cx="5943600" cy="2832100"/>
            <wp:effectExtent l="0" t="0" r="0" b="6350"/>
            <wp:docPr id="4" name="Gráfico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458DC7-91CB-467A-A69C-4E6EBC4E59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3F72" w:rsidRDefault="001B3F72" w:rsidP="001B3F72">
      <w:pPr>
        <w:pStyle w:val="Descripcin"/>
        <w:jc w:val="center"/>
      </w:pPr>
      <w:bookmarkStart w:id="2" w:name="_Ref474344721"/>
      <w:r>
        <w:t xml:space="preserve">Fig. </w:t>
      </w:r>
      <w:r>
        <w:fldChar w:fldCharType="begin"/>
      </w:r>
      <w:r>
        <w:instrText xml:space="preserve"> SEQ Fig. \* ARABIC </w:instrText>
      </w:r>
      <w:r>
        <w:fldChar w:fldCharType="separate"/>
      </w:r>
      <w:r w:rsidR="00632FD9">
        <w:rPr>
          <w:noProof/>
        </w:rPr>
        <w:t>3</w:t>
      </w:r>
      <w:r>
        <w:rPr>
          <w:noProof/>
        </w:rPr>
        <w:fldChar w:fldCharType="end"/>
      </w:r>
      <w:bookmarkEnd w:id="2"/>
      <w:r>
        <w:t>. Percentiles, RHA y RHN para la estación hidrométrica 27005.</w:t>
      </w:r>
    </w:p>
    <w:p w:rsidR="001B3F72" w:rsidRDefault="001B3F72" w:rsidP="001B3F72"/>
    <w:p w:rsidR="001B3F72" w:rsidRDefault="001B3F72" w:rsidP="001B3F72"/>
    <w:p w:rsidR="001B3F72" w:rsidRDefault="001B3F72" w:rsidP="001B3F72">
      <w:pPr>
        <w:pStyle w:val="Ttulo1"/>
      </w:pPr>
      <w:r>
        <w:lastRenderedPageBreak/>
        <w:t xml:space="preserve">Estación 27006 “El </w:t>
      </w:r>
      <w:proofErr w:type="spellStart"/>
      <w:r>
        <w:t>Rauldal</w:t>
      </w:r>
      <w:proofErr w:type="spellEnd"/>
      <w:r>
        <w:t>”</w:t>
      </w:r>
    </w:p>
    <w:p w:rsidR="001B3F72" w:rsidRDefault="001B3F72" w:rsidP="001B3F72">
      <w:r>
        <w:t xml:space="preserve">La estación hidrométrica 27006 “El </w:t>
      </w:r>
      <w:proofErr w:type="spellStart"/>
      <w:r>
        <w:t>Rauldal</w:t>
      </w:r>
      <w:proofErr w:type="spellEnd"/>
      <w:r>
        <w:t xml:space="preserve">” se encuentra en la corriente del río Misantla, que corresponde a la subcuenca Río Misantla. Para el caso de la corriente en la que se encuentra esta estación no hay infraestructura hidráulica que generé una alteración en el régimen hidrológico. </w:t>
      </w:r>
    </w:p>
    <w:p w:rsidR="001B3F72" w:rsidRDefault="001B3F72" w:rsidP="001B3F72">
      <w:r>
        <w:t xml:space="preserve">En la </w:t>
      </w:r>
      <w:r w:rsidR="00632FD9">
        <w:t>Fig. 4</w:t>
      </w:r>
      <w:r>
        <w:t xml:space="preserve"> se muestra la serie histórica de los datos hidrométricos de la estación 27006 que corresponde al periodo 1961-2003. </w:t>
      </w:r>
    </w:p>
    <w:p w:rsidR="001B3F72" w:rsidRDefault="001B3F72" w:rsidP="001B3F72">
      <w:pPr>
        <w:keepNext/>
      </w:pPr>
      <w:r>
        <w:rPr>
          <w:noProof/>
          <w:lang w:val="es-MX" w:eastAsia="es-MX"/>
        </w:rPr>
        <w:drawing>
          <wp:inline distT="0" distB="0" distL="0" distR="0" wp14:anchorId="7FF637E9" wp14:editId="23CBD24B">
            <wp:extent cx="5943600" cy="16694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669415"/>
                    </a:xfrm>
                    <a:prstGeom prst="rect">
                      <a:avLst/>
                    </a:prstGeom>
                  </pic:spPr>
                </pic:pic>
              </a:graphicData>
            </a:graphic>
          </wp:inline>
        </w:drawing>
      </w:r>
    </w:p>
    <w:p w:rsidR="001B3F72" w:rsidRDefault="001B3F72" w:rsidP="001B3F72">
      <w:pPr>
        <w:pStyle w:val="Descripcin"/>
        <w:jc w:val="center"/>
      </w:pPr>
      <w:r>
        <w:t xml:space="preserve">Fig. </w:t>
      </w:r>
      <w:r>
        <w:fldChar w:fldCharType="begin"/>
      </w:r>
      <w:r>
        <w:instrText xml:space="preserve"> SEQ Fig. \* ARABIC </w:instrText>
      </w:r>
      <w:r>
        <w:fldChar w:fldCharType="separate"/>
      </w:r>
      <w:r w:rsidR="00632FD9">
        <w:rPr>
          <w:noProof/>
        </w:rPr>
        <w:t>4</w:t>
      </w:r>
      <w:r>
        <w:rPr>
          <w:noProof/>
        </w:rPr>
        <w:fldChar w:fldCharType="end"/>
      </w:r>
      <w:r>
        <w:t xml:space="preserve">. </w:t>
      </w:r>
      <w:r w:rsidRPr="00D00CD1">
        <w:t xml:space="preserve"> Datos históricos hi</w:t>
      </w:r>
      <w:r>
        <w:t>drométricos de la estación 27006</w:t>
      </w:r>
      <w:r w:rsidRPr="00D00CD1">
        <w:t xml:space="preserve"> "El </w:t>
      </w:r>
      <w:r>
        <w:t>Raudal</w:t>
      </w:r>
      <w:r w:rsidRPr="00D00CD1">
        <w:t>".</w:t>
      </w:r>
    </w:p>
    <w:p w:rsidR="001B3F72" w:rsidRDefault="001B3F72" w:rsidP="001B3F72">
      <w:r>
        <w:t xml:space="preserve">En la </w:t>
      </w:r>
      <w:r w:rsidR="00632FD9">
        <w:t xml:space="preserve">Fig. 5 </w:t>
      </w:r>
      <w:r>
        <w:t xml:space="preserve">se muestran los percentiles 10 y 90 que marca la NOM 159 y los percentiles 25 y 75 que recomienda </w:t>
      </w:r>
      <w:r w:rsidRPr="008D7E8C">
        <w:t>Richter</w:t>
      </w:r>
      <w:r>
        <w:t xml:space="preserve"> como umbrales para determinar la alteración de un régimen hidrológico, así como el RHN para la estación 27006.</w:t>
      </w:r>
    </w:p>
    <w:p w:rsidR="001B3F72" w:rsidRDefault="001B3F72" w:rsidP="001B3F72">
      <w:r>
        <w:t xml:space="preserve">Como se observa, el régimen hidrológico se encuentra dentro de los rangos que proponen tanto Richter como la NOM 159. No obstante, para los meses de enero a junio los valores se encuentran próximos sobrepasar el límite inferior del percentil 25.  </w:t>
      </w:r>
    </w:p>
    <w:p w:rsidR="001B3F72" w:rsidRDefault="001B3F72" w:rsidP="001B3F72">
      <w:r>
        <w:rPr>
          <w:noProof/>
          <w:lang w:val="es-MX" w:eastAsia="es-MX"/>
        </w:rPr>
        <w:lastRenderedPageBreak/>
        <w:drawing>
          <wp:inline distT="0" distB="0" distL="0" distR="0" wp14:anchorId="5D4F57A5" wp14:editId="47E22AF5">
            <wp:extent cx="5943600" cy="2832100"/>
            <wp:effectExtent l="0" t="0" r="0" b="6350"/>
            <wp:docPr id="6" name="Gráfico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B1BA16-FE18-41EF-B13B-583B63276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3F72" w:rsidRDefault="001B3F72" w:rsidP="001B3F72">
      <w:pPr>
        <w:tabs>
          <w:tab w:val="left" w:pos="1030"/>
        </w:tabs>
      </w:pPr>
      <w:r>
        <w:tab/>
        <w:t xml:space="preserve">Fig. </w:t>
      </w:r>
      <w:r>
        <w:fldChar w:fldCharType="begin"/>
      </w:r>
      <w:r>
        <w:instrText xml:space="preserve"> SEQ Fig. \* ARABIC </w:instrText>
      </w:r>
      <w:r>
        <w:fldChar w:fldCharType="separate"/>
      </w:r>
      <w:r w:rsidR="00632FD9">
        <w:rPr>
          <w:noProof/>
        </w:rPr>
        <w:t>5</w:t>
      </w:r>
      <w:r>
        <w:rPr>
          <w:noProof/>
        </w:rPr>
        <w:fldChar w:fldCharType="end"/>
      </w:r>
      <w:r>
        <w:t>. Percentiles, RHA y RHN para la estación hidrométrica 27006.</w:t>
      </w:r>
    </w:p>
    <w:p w:rsidR="001B3F72" w:rsidRDefault="001B3F72" w:rsidP="001B3F72"/>
    <w:p w:rsidR="001B3F72" w:rsidRDefault="00C326C2" w:rsidP="00C326C2">
      <w:pPr>
        <w:pStyle w:val="Ttulo1"/>
      </w:pPr>
      <w:r>
        <w:t xml:space="preserve">Estación </w:t>
      </w:r>
      <w:r w:rsidRPr="00C326C2">
        <w:t>28003</w:t>
      </w:r>
      <w:r>
        <w:t xml:space="preserve"> “</w:t>
      </w:r>
      <w:proofErr w:type="spellStart"/>
      <w:r>
        <w:t>Cardel</w:t>
      </w:r>
      <w:proofErr w:type="spellEnd"/>
      <w:r>
        <w:t>”</w:t>
      </w:r>
    </w:p>
    <w:p w:rsidR="00C326C2" w:rsidRDefault="00C326C2" w:rsidP="00C326C2">
      <w:r>
        <w:t>La estación hidrométrica 28003 “</w:t>
      </w:r>
      <w:proofErr w:type="spellStart"/>
      <w:r>
        <w:t>Cardel</w:t>
      </w:r>
      <w:proofErr w:type="spellEnd"/>
      <w:r>
        <w:t>” se encuentra en la corriente del río La Antigua, que corresponde a la subcuenca Río La Antigua. En la corriente de este río fue construida la presa derivadora La Antigua en el año de 1951, mismo año en que dio inicio el registro de datos de la estación hidrométrica. Por esta razón no es posible realizar un análisis pre y post impacto a la construcción de la presa.</w:t>
      </w:r>
    </w:p>
    <w:p w:rsidR="00C326C2" w:rsidRDefault="00C326C2" w:rsidP="00C326C2">
      <w:r>
        <w:t xml:space="preserve">En la </w:t>
      </w:r>
      <w:r w:rsidR="00632FD9">
        <w:t xml:space="preserve">Fig. 6 </w:t>
      </w:r>
      <w:r>
        <w:t xml:space="preserve">se muestra la serie histórica de los datos hidrométricos de la estación 28003 que corresponde al periodo 1951-2011. </w:t>
      </w:r>
    </w:p>
    <w:p w:rsidR="00C326C2" w:rsidRDefault="00C326C2" w:rsidP="00C326C2">
      <w:pPr>
        <w:keepNext/>
      </w:pPr>
      <w:r>
        <w:rPr>
          <w:noProof/>
          <w:lang w:val="es-MX" w:eastAsia="es-MX"/>
        </w:rPr>
        <w:drawing>
          <wp:inline distT="0" distB="0" distL="0" distR="0" wp14:anchorId="6133F081" wp14:editId="209E75DB">
            <wp:extent cx="5943600" cy="187769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77695"/>
                    </a:xfrm>
                    <a:prstGeom prst="rect">
                      <a:avLst/>
                    </a:prstGeom>
                  </pic:spPr>
                </pic:pic>
              </a:graphicData>
            </a:graphic>
          </wp:inline>
        </w:drawing>
      </w:r>
    </w:p>
    <w:p w:rsidR="00C326C2" w:rsidRDefault="00C326C2" w:rsidP="00C326C2">
      <w:pPr>
        <w:pStyle w:val="Descripcin"/>
        <w:jc w:val="center"/>
      </w:pPr>
      <w:r>
        <w:t xml:space="preserve">Fig. </w:t>
      </w:r>
      <w:r>
        <w:fldChar w:fldCharType="begin"/>
      </w:r>
      <w:r>
        <w:instrText xml:space="preserve"> SEQ Fig. \* ARABIC </w:instrText>
      </w:r>
      <w:r>
        <w:fldChar w:fldCharType="separate"/>
      </w:r>
      <w:r w:rsidR="00632FD9">
        <w:rPr>
          <w:noProof/>
        </w:rPr>
        <w:t>6</w:t>
      </w:r>
      <w:r>
        <w:rPr>
          <w:noProof/>
        </w:rPr>
        <w:fldChar w:fldCharType="end"/>
      </w:r>
      <w:r>
        <w:t xml:space="preserve">. </w:t>
      </w:r>
      <w:r w:rsidRPr="00D00CD1">
        <w:t xml:space="preserve"> Datos históricos hidrométricos de </w:t>
      </w:r>
      <w:r>
        <w:t>la estación 28003</w:t>
      </w:r>
      <w:r w:rsidRPr="00D00CD1">
        <w:t xml:space="preserve"> "</w:t>
      </w:r>
      <w:proofErr w:type="spellStart"/>
      <w:r>
        <w:t>Cardel</w:t>
      </w:r>
      <w:proofErr w:type="spellEnd"/>
      <w:r w:rsidRPr="00D00CD1">
        <w:t>".</w:t>
      </w:r>
    </w:p>
    <w:p w:rsidR="00C326C2" w:rsidRDefault="00632FD9" w:rsidP="00632FD9">
      <w:pPr>
        <w:pStyle w:val="Ttulo1"/>
      </w:pPr>
      <w:r>
        <w:lastRenderedPageBreak/>
        <w:t xml:space="preserve">Estación </w:t>
      </w:r>
      <w:r w:rsidRPr="00F26F87">
        <w:t>28111 “Ídolos”</w:t>
      </w:r>
    </w:p>
    <w:p w:rsidR="00632FD9" w:rsidRPr="00F26F87" w:rsidRDefault="00632FD9" w:rsidP="00632FD9">
      <w:r w:rsidRPr="00F26F87">
        <w:t>La estación hidrométrica 28111 “Ídolos” se encuentra en la corriente del río Ídolos, que corresponde a la subcuenca Río Ídolos. Se asume que la corriente se vio alterada con la construcción de la presa hidroeléctrica José Evaristo Molina en 1969</w:t>
      </w:r>
    </w:p>
    <w:p w:rsidR="00632FD9" w:rsidRPr="00F26F87" w:rsidRDefault="00632FD9" w:rsidP="00632FD9">
      <w:r w:rsidRPr="00F26F87">
        <w:t xml:space="preserve">En la </w:t>
      </w:r>
      <w:r w:rsidRPr="00F26F87">
        <w:fldChar w:fldCharType="begin"/>
      </w:r>
      <w:r w:rsidRPr="00F26F87">
        <w:instrText xml:space="preserve"> REF _Ref474343808 \h  \* MERGEFORMAT </w:instrText>
      </w:r>
      <w:r w:rsidRPr="00F26F87">
        <w:fldChar w:fldCharType="separate"/>
      </w:r>
      <w:r>
        <w:t>Fig.</w:t>
      </w:r>
      <w:r w:rsidRPr="00F26F87">
        <w:fldChar w:fldCharType="end"/>
      </w:r>
      <w:r>
        <w:t xml:space="preserve"> 7</w:t>
      </w:r>
      <w:r w:rsidRPr="00F26F87">
        <w:t xml:space="preserve"> se muestra la serie histórica de los datos hidrométricos de la estación 28111 que corresponde al periodo 1963-2011. </w:t>
      </w:r>
    </w:p>
    <w:p w:rsidR="00632FD9" w:rsidRDefault="00632FD9" w:rsidP="00632FD9">
      <w:pPr>
        <w:keepNext/>
      </w:pPr>
      <w:r>
        <w:rPr>
          <w:noProof/>
          <w:lang w:val="es-MX" w:eastAsia="es-MX"/>
        </w:rPr>
        <w:drawing>
          <wp:inline distT="0" distB="0" distL="0" distR="0" wp14:anchorId="434F7A93" wp14:editId="5B1E3C62">
            <wp:extent cx="5943600" cy="1471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71930"/>
                    </a:xfrm>
                    <a:prstGeom prst="rect">
                      <a:avLst/>
                    </a:prstGeom>
                  </pic:spPr>
                </pic:pic>
              </a:graphicData>
            </a:graphic>
          </wp:inline>
        </w:drawing>
      </w:r>
    </w:p>
    <w:p w:rsidR="00632FD9" w:rsidRDefault="00632FD9" w:rsidP="00632FD9">
      <w:pPr>
        <w:pStyle w:val="Descripcin"/>
        <w:jc w:val="center"/>
      </w:pPr>
      <w:r>
        <w:t xml:space="preserve">Fig. </w:t>
      </w:r>
      <w:r>
        <w:fldChar w:fldCharType="begin"/>
      </w:r>
      <w:r>
        <w:instrText xml:space="preserve"> SEQ Fig. \* ARABIC </w:instrText>
      </w:r>
      <w:r>
        <w:fldChar w:fldCharType="separate"/>
      </w:r>
      <w:r>
        <w:rPr>
          <w:noProof/>
        </w:rPr>
        <w:t>7</w:t>
      </w:r>
      <w:r>
        <w:rPr>
          <w:noProof/>
        </w:rPr>
        <w:fldChar w:fldCharType="end"/>
      </w:r>
      <w:r>
        <w:t xml:space="preserve">. </w:t>
      </w:r>
      <w:r w:rsidRPr="00D00CD1">
        <w:t>Datos históricos hi</w:t>
      </w:r>
      <w:r>
        <w:t>drométricos de la estación 28111</w:t>
      </w:r>
      <w:r w:rsidRPr="00D00CD1">
        <w:t xml:space="preserve"> "</w:t>
      </w:r>
      <w:r>
        <w:t>Ídolos</w:t>
      </w:r>
      <w:r w:rsidRPr="00D00CD1">
        <w:t>".</w:t>
      </w:r>
    </w:p>
    <w:p w:rsidR="00632FD9" w:rsidRPr="00F26F87" w:rsidRDefault="00632FD9" w:rsidP="00632FD9">
      <w:r w:rsidRPr="00F26F87">
        <w:t>A continuación, se muestran los resultados del análisis interanual de los dos periodos (RHN y RHA) a nivel mensual.</w:t>
      </w:r>
    </w:p>
    <w:p w:rsidR="00632FD9" w:rsidRDefault="00632FD9" w:rsidP="00632FD9">
      <w:pPr>
        <w:keepNext/>
      </w:pPr>
      <w:r>
        <w:rPr>
          <w:noProof/>
          <w:lang w:val="es-MX" w:eastAsia="es-MX"/>
        </w:rPr>
        <w:drawing>
          <wp:inline distT="0" distB="0" distL="0" distR="0" wp14:anchorId="31FF5EE2" wp14:editId="2CE7D16E">
            <wp:extent cx="5943600" cy="21729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172970"/>
                    </a:xfrm>
                    <a:prstGeom prst="rect">
                      <a:avLst/>
                    </a:prstGeom>
                  </pic:spPr>
                </pic:pic>
              </a:graphicData>
            </a:graphic>
          </wp:inline>
        </w:drawing>
      </w:r>
    </w:p>
    <w:p w:rsidR="00632FD9" w:rsidRDefault="00632FD9" w:rsidP="00632FD9">
      <w:pPr>
        <w:pStyle w:val="Descripcin"/>
        <w:jc w:val="center"/>
      </w:pPr>
      <w:bookmarkStart w:id="3" w:name="_Ref474352370"/>
      <w:r>
        <w:t xml:space="preserve">Fig. </w:t>
      </w:r>
      <w:r>
        <w:fldChar w:fldCharType="begin"/>
      </w:r>
      <w:r>
        <w:instrText xml:space="preserve"> SEQ Fig. \* ARABIC </w:instrText>
      </w:r>
      <w:r>
        <w:fldChar w:fldCharType="separate"/>
      </w:r>
      <w:r>
        <w:rPr>
          <w:noProof/>
        </w:rPr>
        <w:t>8</w:t>
      </w:r>
      <w:r>
        <w:rPr>
          <w:noProof/>
        </w:rPr>
        <w:fldChar w:fldCharType="end"/>
      </w:r>
      <w:bookmarkEnd w:id="3"/>
      <w:r>
        <w:t xml:space="preserve"> Caudales medios mensuales del RHN y RHA de la estación hidrométrica 28111.</w:t>
      </w:r>
    </w:p>
    <w:p w:rsidR="00632FD9" w:rsidRPr="00F26F87" w:rsidRDefault="00632FD9" w:rsidP="00632FD9">
      <w:r w:rsidRPr="00F26F87">
        <w:t xml:space="preserve">En la </w:t>
      </w:r>
      <w:r w:rsidRPr="00F26F87">
        <w:fldChar w:fldCharType="begin"/>
      </w:r>
      <w:r w:rsidRPr="00F26F87">
        <w:instrText xml:space="preserve"> REF _Ref474343808 \h  \* MERGEFORMAT </w:instrText>
      </w:r>
      <w:r w:rsidRPr="00F26F87">
        <w:fldChar w:fldCharType="separate"/>
      </w:r>
      <w:r>
        <w:t>Fig.</w:t>
      </w:r>
      <w:r w:rsidRPr="00F26F87">
        <w:fldChar w:fldCharType="end"/>
      </w:r>
      <w:r>
        <w:t xml:space="preserve"> </w:t>
      </w:r>
      <w:r w:rsidR="00412371">
        <w:t>8</w:t>
      </w:r>
      <w:r w:rsidRPr="00F26F87">
        <w:t xml:space="preserve"> se muestran los caudales medios para el RHN y el RHA, determinándose que solo el mes de octubre el RHA se encuentra por debajo del valor del RHN. En los meses restantes los valores del RHA se encuentran por arriba del RHN. </w:t>
      </w:r>
    </w:p>
    <w:p w:rsidR="00632FD9" w:rsidRPr="00F26F87" w:rsidRDefault="00632FD9" w:rsidP="00632FD9">
      <w:r w:rsidRPr="00F26F87">
        <w:lastRenderedPageBreak/>
        <w:t xml:space="preserve">En la </w:t>
      </w:r>
      <w:r w:rsidR="00412371">
        <w:t>9</w:t>
      </w:r>
      <w:r w:rsidRPr="00F26F87">
        <w:t xml:space="preserve"> se muestran los percentiles 10 y 90 que marca la NOM 159 y los percentiles 25 y 75 que recomienda Richter como umbrales para determinar la alteración de un régimen hidrológico, así como el RHN y RHA para la estación 28111. De su análisis se determina que para los percentiles 10 y 90 que marca la NMX 159 en su Apéndice B, solo los meses de junio y septiembre (para RHA) se encuentra sobre los valores del percentil 90, mientras que los meses de enero, abril y diciembre se aproximan a superarlo. Los meses restantes se mantienen dentro del rango comprendido entre ambos percentiles.</w:t>
      </w:r>
    </w:p>
    <w:p w:rsidR="00632FD9" w:rsidRPr="00F26F87" w:rsidRDefault="00632FD9" w:rsidP="00632FD9">
      <w:r w:rsidRPr="00F26F87">
        <w:t xml:space="preserve">Para el caso de Richter que recomienda como limites los percentiles 25 y 75, se tiene que los meses de abril, junio, julio y septiembre en RHA se encuentran con valores por arriba del percentil 75. Los meses enero, febrero y marzo se encuentran muy cerca de los valores del percentil 75. Los restantes se mantienen dentro del rango comprendido entre ambos percentiles. </w:t>
      </w:r>
    </w:p>
    <w:p w:rsidR="00632FD9" w:rsidRPr="00F26F87" w:rsidRDefault="00632FD9" w:rsidP="00632FD9">
      <w:r w:rsidRPr="00F26F87">
        <w:t xml:space="preserve">Para ambos parámetros, el cauce aún no se encuentra alterado. No obstante, para el caso de Richter que tiene los limites más acotados se tiene mayor proximidad a encontrarse alterado ya que un tercio de los meses se encuentra fuera del umbral y 3 meses muy próximos a superarlo.   </w:t>
      </w:r>
    </w:p>
    <w:p w:rsidR="00632FD9" w:rsidRDefault="00632FD9" w:rsidP="00632FD9">
      <w:pPr>
        <w:tabs>
          <w:tab w:val="left" w:pos="1030"/>
        </w:tabs>
      </w:pPr>
    </w:p>
    <w:p w:rsidR="00632FD9" w:rsidRPr="00EF0799" w:rsidRDefault="00632FD9" w:rsidP="00632FD9">
      <w:pPr>
        <w:tabs>
          <w:tab w:val="left" w:pos="1030"/>
        </w:tabs>
      </w:pPr>
    </w:p>
    <w:p w:rsidR="00632FD9" w:rsidRDefault="00632FD9" w:rsidP="00632FD9">
      <w:pPr>
        <w:keepNext/>
        <w:tabs>
          <w:tab w:val="left" w:pos="1030"/>
        </w:tabs>
      </w:pPr>
      <w:r>
        <w:rPr>
          <w:noProof/>
          <w:lang w:val="es-MX" w:eastAsia="es-MX"/>
        </w:rPr>
        <w:lastRenderedPageBreak/>
        <w:drawing>
          <wp:inline distT="0" distB="0" distL="0" distR="0" wp14:anchorId="545A2DD2" wp14:editId="229CA85C">
            <wp:extent cx="5943600" cy="3276600"/>
            <wp:effectExtent l="0" t="0" r="0" b="0"/>
            <wp:docPr id="10" name="Gráfico 1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7D61A2-CA35-40F8-B83C-CD9D0B5A2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2FD9" w:rsidRDefault="00632FD9" w:rsidP="00632FD9">
      <w:pPr>
        <w:pStyle w:val="Descripcin"/>
        <w:jc w:val="center"/>
      </w:pPr>
      <w:r>
        <w:t xml:space="preserve">Fig. </w:t>
      </w:r>
      <w:r>
        <w:fldChar w:fldCharType="begin"/>
      </w:r>
      <w:r>
        <w:instrText xml:space="preserve"> SEQ Fig. \* ARABIC </w:instrText>
      </w:r>
      <w:r>
        <w:fldChar w:fldCharType="separate"/>
      </w:r>
      <w:r>
        <w:rPr>
          <w:noProof/>
        </w:rPr>
        <w:t>9</w:t>
      </w:r>
      <w:r>
        <w:rPr>
          <w:noProof/>
        </w:rPr>
        <w:fldChar w:fldCharType="end"/>
      </w:r>
      <w:r>
        <w:t>. Percentiles, RHA y RHN para la estación hidrométrica 28111.</w:t>
      </w:r>
    </w:p>
    <w:p w:rsidR="00632FD9" w:rsidRPr="00F26F87" w:rsidRDefault="00632FD9" w:rsidP="00632FD9">
      <w:r w:rsidRPr="00F26F87">
        <w:t xml:space="preserve">Para un análisis a detalle diario muy general de los 33 </w:t>
      </w:r>
      <w:r>
        <w:t xml:space="preserve">parámetros </w:t>
      </w:r>
      <w:r w:rsidRPr="00F26F87">
        <w:t>estadístico</w:t>
      </w:r>
      <w:r>
        <w:t>s</w:t>
      </w:r>
      <w:r w:rsidRPr="00F26F87">
        <w:t xml:space="preserve"> de IHA se </w:t>
      </w:r>
      <w:r>
        <w:t>obtiene el g</w:t>
      </w:r>
      <w:r w:rsidR="00412371">
        <w:t>ráfico de la</w:t>
      </w:r>
      <w:r w:rsidRPr="00F26F87">
        <w:t xml:space="preserve"> </w:t>
      </w:r>
      <w:r w:rsidR="00412371" w:rsidRPr="00F26F87">
        <w:fldChar w:fldCharType="begin"/>
      </w:r>
      <w:r w:rsidR="00412371" w:rsidRPr="00F26F87">
        <w:instrText xml:space="preserve"> REF _Ref474343808 \h  \* MERGEFORMAT </w:instrText>
      </w:r>
      <w:r w:rsidR="00412371" w:rsidRPr="00F26F87">
        <w:fldChar w:fldCharType="separate"/>
      </w:r>
      <w:r w:rsidR="00412371">
        <w:t>Fig.</w:t>
      </w:r>
      <w:r w:rsidR="00412371" w:rsidRPr="00F26F87">
        <w:fldChar w:fldCharType="end"/>
      </w:r>
      <w:r w:rsidR="00412371">
        <w:t xml:space="preserve"> 10</w:t>
      </w:r>
      <w:r w:rsidRPr="00F26F87">
        <w:t xml:space="preserve"> donde se logra observar que muchos de estos parámetros superan el P75. </w:t>
      </w:r>
    </w:p>
    <w:p w:rsidR="00632FD9" w:rsidRDefault="00632FD9" w:rsidP="00632FD9"/>
    <w:p w:rsidR="00632FD9" w:rsidRDefault="00632FD9" w:rsidP="00632FD9">
      <w:pPr>
        <w:keepNext/>
      </w:pPr>
      <w:r>
        <w:rPr>
          <w:noProof/>
          <w:lang w:val="es-MX" w:eastAsia="es-MX"/>
        </w:rPr>
        <w:drawing>
          <wp:inline distT="0" distB="0" distL="0" distR="0" wp14:anchorId="6EF38771" wp14:editId="0F9FF8D5">
            <wp:extent cx="6009108" cy="30956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1562" cy="3102041"/>
                    </a:xfrm>
                    <a:prstGeom prst="rect">
                      <a:avLst/>
                    </a:prstGeom>
                  </pic:spPr>
                </pic:pic>
              </a:graphicData>
            </a:graphic>
          </wp:inline>
        </w:drawing>
      </w:r>
    </w:p>
    <w:p w:rsidR="00632FD9" w:rsidRDefault="00632FD9" w:rsidP="00632FD9">
      <w:pPr>
        <w:pStyle w:val="Descripcin"/>
        <w:jc w:val="center"/>
      </w:pPr>
      <w:bookmarkStart w:id="4" w:name="_Ref474424233"/>
      <w:r>
        <w:t xml:space="preserve">Fig. </w:t>
      </w:r>
      <w:r>
        <w:fldChar w:fldCharType="begin"/>
      </w:r>
      <w:r>
        <w:instrText xml:space="preserve"> SEQ Fig. \* ARABIC </w:instrText>
      </w:r>
      <w:r>
        <w:fldChar w:fldCharType="separate"/>
      </w:r>
      <w:r w:rsidR="00412371">
        <w:rPr>
          <w:noProof/>
        </w:rPr>
        <w:t>10</w:t>
      </w:r>
      <w:r>
        <w:rPr>
          <w:noProof/>
        </w:rPr>
        <w:fldChar w:fldCharType="end"/>
      </w:r>
      <w:bookmarkEnd w:id="4"/>
      <w:r>
        <w:t>. Análisis de RVA para de los IHA en la estación 28111.</w:t>
      </w:r>
    </w:p>
    <w:p w:rsidR="00632FD9" w:rsidRDefault="00632FD9" w:rsidP="00632FD9">
      <w:r w:rsidRPr="00F26F87">
        <w:lastRenderedPageBreak/>
        <w:t xml:space="preserve">Para la presente estación, los índices de magnitud de las condiciones hidrológicas mensuales correspondientes a los meses de febrero, marzo, abril, junio y septiembre presentan valores de alteración hidrológica mayores a 1. </w:t>
      </w:r>
    </w:p>
    <w:p w:rsidR="00412371" w:rsidRPr="00F26F87" w:rsidRDefault="00412371" w:rsidP="00632FD9"/>
    <w:p w:rsidR="00632FD9" w:rsidRPr="00F26F87" w:rsidRDefault="00632FD9" w:rsidP="00632FD9">
      <w:r w:rsidRPr="00F26F87">
        <w:t xml:space="preserve">Los índices de magnitud y duración de las condiciones hidrológicas extremas anuales, como mínimos anuales media de 1 día, 3 días, 7 días, 30 días y 90 días tienen valores de alteración superiores a 1 del P75. De igual manera, los máximos de 1 día, 3 días, 7 días, 30 días y 90 días tienen valores de alteración superiores a 1 del P75. El índice de flujo base presenta un valor de alteración cercano a 0.5. </w:t>
      </w:r>
    </w:p>
    <w:p w:rsidR="00632FD9" w:rsidRDefault="00632FD9" w:rsidP="00632FD9">
      <w:r w:rsidRPr="00F26F87">
        <w:t>Además, el momento de las condiciones hidrológicas extremas anuales presenta alteraciones despreciables con respecto al P50.</w:t>
      </w:r>
    </w:p>
    <w:p w:rsidR="00412371" w:rsidRPr="00F26F87" w:rsidRDefault="00412371" w:rsidP="00632FD9"/>
    <w:p w:rsidR="00632FD9" w:rsidRDefault="00632FD9" w:rsidP="00632FD9">
      <w:r w:rsidRPr="00F26F87">
        <w:t>En cuanto a los parámetros de frecuencia y duración de los pulsos altos y bajos son el P25 que tiene valores de alteración cercanos a 1. Específicamente, el conteo de pulso bajo, y el conteo y duración de pulso alto.</w:t>
      </w:r>
    </w:p>
    <w:p w:rsidR="00412371" w:rsidRPr="00F26F87" w:rsidRDefault="00412371" w:rsidP="00632FD9"/>
    <w:p w:rsidR="00632FD9" w:rsidRDefault="00632FD9" w:rsidP="00632FD9">
      <w:r w:rsidRPr="00F26F87">
        <w:t>Respecto a Tasa y frecuencia de los cambios de las condiciones hidrológicas, tenemos alteración cercana a 0.5, en lo que refiere a la tasa de ascenso; contrariamente, al valor de alteración de -0.5 en la tasa de descenso. Ambos para el P75.</w:t>
      </w:r>
    </w:p>
    <w:p w:rsidR="00632FD9" w:rsidRDefault="00632FD9" w:rsidP="00632FD9"/>
    <w:p w:rsidR="00632FD9" w:rsidRPr="00FC20E4" w:rsidRDefault="00632FD9" w:rsidP="00632FD9">
      <w:pPr>
        <w:pStyle w:val="Ttulo1"/>
      </w:pPr>
      <w:r>
        <w:t>Estación 28125 “Carrizal”</w:t>
      </w:r>
    </w:p>
    <w:p w:rsidR="00632FD9" w:rsidRDefault="00632FD9" w:rsidP="00632FD9">
      <w:r>
        <w:t xml:space="preserve">La estación hidrométrica 28125 “Carrizal” se encuentra en la corriente del río </w:t>
      </w:r>
      <w:proofErr w:type="spellStart"/>
      <w:r>
        <w:t>Decozalpa</w:t>
      </w:r>
      <w:proofErr w:type="spellEnd"/>
      <w:r>
        <w:t xml:space="preserve">, que corresponde a la </w:t>
      </w:r>
      <w:proofErr w:type="spellStart"/>
      <w:r>
        <w:t>subcuenca</w:t>
      </w:r>
      <w:proofErr w:type="spellEnd"/>
      <w:r>
        <w:t xml:space="preserve"> Río </w:t>
      </w:r>
      <w:proofErr w:type="spellStart"/>
      <w:r>
        <w:t>Decozalapa</w:t>
      </w:r>
      <w:proofErr w:type="spellEnd"/>
      <w:r>
        <w:t>. En la corriente de este río fue construida la presa Bella Esperanza en el año de 1949, pero fue hasta el año 1966 que la estación hidrométrica se puso en marcha. Por esta razón no es posible realizar un análisis pre y post impacto a la construcción de la presa.</w:t>
      </w:r>
    </w:p>
    <w:p w:rsidR="00632FD9" w:rsidRDefault="00632FD9" w:rsidP="00632FD9">
      <w:r>
        <w:t xml:space="preserve">En la </w:t>
      </w:r>
      <w:r w:rsidR="00412371" w:rsidRPr="00F26F87">
        <w:fldChar w:fldCharType="begin"/>
      </w:r>
      <w:r w:rsidR="00412371" w:rsidRPr="00F26F87">
        <w:instrText xml:space="preserve"> REF _Ref474343808 \h  \* MERGEFORMAT </w:instrText>
      </w:r>
      <w:r w:rsidR="00412371" w:rsidRPr="00F26F87">
        <w:fldChar w:fldCharType="separate"/>
      </w:r>
      <w:r w:rsidR="00412371">
        <w:t>Fig.</w:t>
      </w:r>
      <w:r w:rsidR="00412371" w:rsidRPr="00F26F87">
        <w:fldChar w:fldCharType="end"/>
      </w:r>
      <w:r w:rsidR="00412371">
        <w:t xml:space="preserve"> 11</w:t>
      </w:r>
      <w:r>
        <w:t xml:space="preserve"> se muestra la serie histórica de los datos hidrométricos de la estación 28125 que corresponde al periodo 1966-2011. </w:t>
      </w:r>
    </w:p>
    <w:p w:rsidR="00632FD9" w:rsidRDefault="00632FD9" w:rsidP="00632FD9">
      <w:pPr>
        <w:keepNext/>
      </w:pPr>
      <w:r>
        <w:rPr>
          <w:noProof/>
          <w:lang w:val="es-MX" w:eastAsia="es-MX"/>
        </w:rPr>
        <w:lastRenderedPageBreak/>
        <w:drawing>
          <wp:inline distT="0" distB="0" distL="0" distR="0" wp14:anchorId="7A94C3AD" wp14:editId="3823BD0C">
            <wp:extent cx="5943600" cy="237871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78710"/>
                    </a:xfrm>
                    <a:prstGeom prst="rect">
                      <a:avLst/>
                    </a:prstGeom>
                  </pic:spPr>
                </pic:pic>
              </a:graphicData>
            </a:graphic>
          </wp:inline>
        </w:drawing>
      </w:r>
    </w:p>
    <w:p w:rsidR="00632FD9" w:rsidRDefault="00632FD9" w:rsidP="00632FD9">
      <w:pPr>
        <w:pStyle w:val="Descripcin"/>
        <w:jc w:val="center"/>
      </w:pPr>
      <w:r>
        <w:t xml:space="preserve">Fig. </w:t>
      </w:r>
      <w:r>
        <w:fldChar w:fldCharType="begin"/>
      </w:r>
      <w:r>
        <w:instrText xml:space="preserve"> SEQ Fig. \* ARABIC </w:instrText>
      </w:r>
      <w:r>
        <w:fldChar w:fldCharType="separate"/>
      </w:r>
      <w:r w:rsidR="00412371">
        <w:rPr>
          <w:noProof/>
        </w:rPr>
        <w:t>11</w:t>
      </w:r>
      <w:r>
        <w:rPr>
          <w:noProof/>
        </w:rPr>
        <w:fldChar w:fldCharType="end"/>
      </w:r>
      <w:r>
        <w:t xml:space="preserve">. </w:t>
      </w:r>
      <w:r w:rsidRPr="00D00CD1">
        <w:t xml:space="preserve"> Datos históricos hidrométricos de </w:t>
      </w:r>
      <w:r>
        <w:t>la estación 28125</w:t>
      </w:r>
      <w:r w:rsidRPr="00D00CD1">
        <w:t xml:space="preserve"> "</w:t>
      </w:r>
      <w:r>
        <w:t>Carrizal</w:t>
      </w:r>
      <w:r w:rsidRPr="00D00CD1">
        <w:t>".</w:t>
      </w:r>
    </w:p>
    <w:p w:rsidR="00632FD9" w:rsidRPr="00C326C2" w:rsidRDefault="00632FD9" w:rsidP="00C326C2"/>
    <w:sectPr w:rsidR="00632FD9" w:rsidRPr="00C326C2">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D8" w:rsidRDefault="004B03D8" w:rsidP="00E00C23">
      <w:pPr>
        <w:spacing w:line="240" w:lineRule="auto"/>
      </w:pPr>
      <w:r>
        <w:separator/>
      </w:r>
    </w:p>
  </w:endnote>
  <w:endnote w:type="continuationSeparator" w:id="0">
    <w:p w:rsidR="004B03D8" w:rsidRDefault="004B03D8" w:rsidP="00E00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424"/>
      <w:gridCol w:w="630"/>
    </w:tblGrid>
    <w:sdt>
      <w:sdtPr>
        <w:rPr>
          <w:rFonts w:asciiTheme="majorHAnsi" w:eastAsiaTheme="majorEastAsia" w:hAnsiTheme="majorHAnsi" w:cstheme="majorBidi"/>
          <w:sz w:val="20"/>
          <w:szCs w:val="20"/>
          <w:lang w:val="es-MX" w:eastAsia="en-US"/>
        </w:rPr>
        <w:id w:val="-1275558959"/>
        <w:docPartObj>
          <w:docPartGallery w:val="Page Numbers (Bottom of Page)"/>
          <w:docPartUnique/>
        </w:docPartObj>
      </w:sdtPr>
      <w:sdtEndPr>
        <w:rPr>
          <w:rFonts w:ascii="Arial" w:eastAsia="Times New Roman" w:hAnsi="Arial" w:cs="Times New Roman"/>
          <w:szCs w:val="24"/>
          <w:lang w:val="es-ES" w:eastAsia="es-ES"/>
        </w:rPr>
      </w:sdtEndPr>
      <w:sdtContent>
        <w:tr w:rsidR="00E00C23" w:rsidTr="007F3119">
          <w:trPr>
            <w:trHeight w:val="727"/>
          </w:trPr>
          <w:tc>
            <w:tcPr>
              <w:tcW w:w="4652" w:type="pct"/>
              <w:tcBorders>
                <w:right w:val="triple" w:sz="4" w:space="0" w:color="4F81BD" w:themeColor="accent1"/>
              </w:tcBorders>
            </w:tcPr>
            <w:p w:rsidR="00E00C23" w:rsidRPr="00C268C7" w:rsidRDefault="00E00C23" w:rsidP="007F3119">
              <w:pPr>
                <w:pStyle w:val="Piedepgina"/>
                <w:rPr>
                  <w:i/>
                  <w:color w:val="31849B" w:themeColor="accent5" w:themeShade="BF"/>
                  <w:sz w:val="16"/>
                </w:rPr>
              </w:pPr>
              <w:r w:rsidRPr="00C268C7">
                <w:rPr>
                  <w:i/>
                  <w:color w:val="31849B" w:themeColor="accent5" w:themeShade="BF"/>
                  <w:sz w:val="16"/>
                </w:rPr>
                <w:t>Clasificación funcional de ríos de distintas regiones de México para diseñar propuestas de caudal ambiental</w:t>
              </w:r>
            </w:p>
            <w:p w:rsidR="00E00C23" w:rsidRDefault="00E00C23" w:rsidP="007F3119">
              <w:pPr>
                <w:tabs>
                  <w:tab w:val="left" w:pos="620"/>
                  <w:tab w:val="center" w:pos="4320"/>
                </w:tabs>
                <w:jc w:val="right"/>
                <w:rPr>
                  <w:rFonts w:asciiTheme="majorHAnsi" w:eastAsiaTheme="majorEastAsia" w:hAnsiTheme="majorHAnsi" w:cstheme="majorBidi"/>
                  <w:sz w:val="20"/>
                  <w:szCs w:val="20"/>
                </w:rPr>
              </w:pPr>
            </w:p>
          </w:tc>
          <w:tc>
            <w:tcPr>
              <w:tcW w:w="348" w:type="pct"/>
              <w:tcBorders>
                <w:left w:val="triple" w:sz="4" w:space="0" w:color="4F81BD" w:themeColor="accent1"/>
              </w:tcBorders>
              <w:vAlign w:val="center"/>
            </w:tcPr>
            <w:p w:rsidR="00E00C23" w:rsidRDefault="00E00C23" w:rsidP="007F3119">
              <w:pPr>
                <w:tabs>
                  <w:tab w:val="left" w:pos="1490"/>
                </w:tabs>
                <w:jc w:val="center"/>
                <w:rPr>
                  <w:rFonts w:asciiTheme="majorHAnsi" w:eastAsiaTheme="majorEastAsia" w:hAnsiTheme="majorHAnsi" w:cstheme="majorBidi"/>
                  <w:sz w:val="28"/>
                  <w:szCs w:val="28"/>
                </w:rPr>
              </w:pPr>
            </w:p>
          </w:tc>
        </w:tr>
      </w:sdtContent>
    </w:sdt>
  </w:tbl>
  <w:p w:rsidR="00E00C23" w:rsidRPr="00DC528A" w:rsidRDefault="00E00C23" w:rsidP="004A3E93">
    <w:pPr>
      <w:pStyle w:val="Sinespaciad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424"/>
      <w:gridCol w:w="630"/>
    </w:tblGrid>
    <w:sdt>
      <w:sdtPr>
        <w:rPr>
          <w:rFonts w:asciiTheme="majorHAnsi" w:eastAsiaTheme="majorEastAsia" w:hAnsiTheme="majorHAnsi" w:cstheme="majorBidi"/>
          <w:sz w:val="20"/>
          <w:szCs w:val="20"/>
          <w:lang w:val="es-MX" w:eastAsia="en-US"/>
        </w:rPr>
        <w:id w:val="-1221674378"/>
        <w:docPartObj>
          <w:docPartGallery w:val="Page Numbers (Bottom of Page)"/>
          <w:docPartUnique/>
        </w:docPartObj>
      </w:sdtPr>
      <w:sdtEndPr>
        <w:rPr>
          <w:rFonts w:ascii="Arial" w:eastAsia="Times New Roman" w:hAnsi="Arial" w:cs="Times New Roman"/>
          <w:szCs w:val="24"/>
          <w:lang w:val="es-ES" w:eastAsia="es-ES"/>
        </w:rPr>
      </w:sdtEndPr>
      <w:sdtContent>
        <w:tr w:rsidR="00E00C23" w:rsidTr="00FC4723">
          <w:trPr>
            <w:trHeight w:val="727"/>
          </w:trPr>
          <w:tc>
            <w:tcPr>
              <w:tcW w:w="4652" w:type="pct"/>
              <w:tcBorders>
                <w:right w:val="triple" w:sz="4" w:space="0" w:color="4F81BD" w:themeColor="accent1"/>
              </w:tcBorders>
            </w:tcPr>
            <w:p w:rsidR="00E00C23" w:rsidRPr="00C268C7" w:rsidRDefault="00E00C23" w:rsidP="00FC4723">
              <w:pPr>
                <w:pStyle w:val="Piedepgina"/>
                <w:rPr>
                  <w:i/>
                  <w:color w:val="31849B" w:themeColor="accent5" w:themeShade="BF"/>
                  <w:sz w:val="16"/>
                </w:rPr>
              </w:pPr>
              <w:r w:rsidRPr="00C268C7">
                <w:rPr>
                  <w:i/>
                  <w:color w:val="31849B" w:themeColor="accent5" w:themeShade="BF"/>
                  <w:sz w:val="16"/>
                </w:rPr>
                <w:t>Clasificación funcional de ríos de distintas regiones de México para diseñar propuestas de caudal ambiental</w:t>
              </w:r>
            </w:p>
            <w:p w:rsidR="00E00C23" w:rsidRDefault="00E00C23" w:rsidP="00FC4723">
              <w:pPr>
                <w:tabs>
                  <w:tab w:val="left" w:pos="620"/>
                  <w:tab w:val="center" w:pos="4320"/>
                </w:tabs>
                <w:jc w:val="right"/>
                <w:rPr>
                  <w:rFonts w:asciiTheme="majorHAnsi" w:eastAsiaTheme="majorEastAsia" w:hAnsiTheme="majorHAnsi" w:cstheme="majorBidi"/>
                  <w:sz w:val="20"/>
                  <w:szCs w:val="20"/>
                </w:rPr>
              </w:pPr>
            </w:p>
          </w:tc>
          <w:tc>
            <w:tcPr>
              <w:tcW w:w="348" w:type="pct"/>
              <w:tcBorders>
                <w:left w:val="triple" w:sz="4" w:space="0" w:color="4F81BD" w:themeColor="accent1"/>
              </w:tcBorders>
              <w:vAlign w:val="center"/>
            </w:tcPr>
            <w:p w:rsidR="00E00C23" w:rsidRDefault="00E00C23" w:rsidP="00FC4723">
              <w:pPr>
                <w:tabs>
                  <w:tab w:val="left" w:pos="1490"/>
                </w:tabs>
                <w:jc w:val="center"/>
                <w:rPr>
                  <w:rFonts w:asciiTheme="majorHAnsi" w:eastAsiaTheme="majorEastAsia" w:hAnsiTheme="majorHAnsi" w:cstheme="majorBidi"/>
                  <w:sz w:val="28"/>
                  <w:szCs w:val="28"/>
                </w:rPr>
              </w:pPr>
            </w:p>
          </w:tc>
        </w:tr>
      </w:sdtContent>
    </w:sdt>
  </w:tbl>
  <w:p w:rsidR="00E00C23" w:rsidRPr="00DC528A" w:rsidRDefault="00E00C23" w:rsidP="00E00C23">
    <w:pPr>
      <w:pStyle w:val="Sinespaciad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D8" w:rsidRDefault="004B03D8" w:rsidP="00E00C23">
      <w:pPr>
        <w:spacing w:line="240" w:lineRule="auto"/>
      </w:pPr>
      <w:r>
        <w:separator/>
      </w:r>
    </w:p>
  </w:footnote>
  <w:footnote w:type="continuationSeparator" w:id="0">
    <w:p w:rsidR="004B03D8" w:rsidRDefault="004B03D8" w:rsidP="00E00C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23" w:rsidRPr="00C8280E" w:rsidRDefault="00E00C23" w:rsidP="004A3E93">
    <w:pPr>
      <w:pStyle w:val="Encabezado"/>
      <w:jc w:val="left"/>
      <w:rPr>
        <w:rFonts w:ascii="Georgia" w:hAnsi="Georgia"/>
        <w:b/>
        <w:color w:val="365F91" w:themeColor="accent1" w:themeShade="BF"/>
        <w:sz w:val="20"/>
        <w:lang w:val="es-MX"/>
      </w:rPr>
    </w:pPr>
    <w:r w:rsidRPr="00C8280E">
      <w:rPr>
        <w:rFonts w:ascii="Georgia" w:hAnsi="Georgia"/>
        <w:noProof/>
        <w:color w:val="365F91" w:themeColor="accent1" w:themeShade="BF"/>
        <w:lang w:val="es-MX" w:eastAsia="es-MX"/>
      </w:rPr>
      <w:drawing>
        <wp:anchor distT="0" distB="0" distL="114300" distR="114300" simplePos="0" relativeHeight="251661312" behindDoc="0" locked="0" layoutInCell="1" allowOverlap="1" wp14:anchorId="5F3D6469" wp14:editId="5141F466">
          <wp:simplePos x="0" y="0"/>
          <wp:positionH relativeFrom="column">
            <wp:posOffset>3241675</wp:posOffset>
          </wp:positionH>
          <wp:positionV relativeFrom="paragraph">
            <wp:posOffset>-306705</wp:posOffset>
          </wp:positionV>
          <wp:extent cx="2388065" cy="801942"/>
          <wp:effectExtent l="0" t="0" r="0" b="0"/>
          <wp:wrapNone/>
          <wp:docPr id="1" name="Imagen 1" descr="http://posgrado.electrica.unam.mx/imagenes/posgradou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grado.electrica.unam.mx/imagenes/posgradounam.jp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388065" cy="801942"/>
                  </a:xfrm>
                  <a:prstGeom prst="rect">
                    <a:avLst/>
                  </a:prstGeom>
                  <a:noFill/>
                  <a:ln>
                    <a:noFill/>
                  </a:ln>
                </pic:spPr>
              </pic:pic>
            </a:graphicData>
          </a:graphic>
          <wp14:sizeRelH relativeFrom="margin">
            <wp14:pctWidth>0</wp14:pctWidth>
          </wp14:sizeRelH>
        </wp:anchor>
      </w:drawing>
    </w:r>
    <w:r w:rsidRPr="00C8280E">
      <w:rPr>
        <w:rFonts w:ascii="Georgia" w:hAnsi="Georgia"/>
        <w:color w:val="365F91" w:themeColor="accent1" w:themeShade="BF"/>
        <w:sz w:val="20"/>
        <w:lang w:val="es-MX"/>
      </w:rPr>
      <w:t>UNIVERSIDAD NACIONAL AUTÓNOMA DE MÉXICO</w:t>
    </w:r>
  </w:p>
  <w:p w:rsidR="00E00C23" w:rsidRPr="00C8280E" w:rsidRDefault="00E00C23" w:rsidP="004A3E93">
    <w:pPr>
      <w:pStyle w:val="Encabezado"/>
      <w:ind w:left="720"/>
      <w:jc w:val="left"/>
      <w:rPr>
        <w:rFonts w:ascii="Georgia" w:hAnsi="Georgia"/>
        <w:color w:val="CC9900"/>
        <w:sz w:val="20"/>
        <w:lang w:val="es-MX"/>
      </w:rPr>
    </w:pPr>
    <w:r w:rsidRPr="00C8280E">
      <w:rPr>
        <w:rFonts w:ascii="Georgia" w:hAnsi="Georgia"/>
        <w:color w:val="CC9900"/>
        <w:sz w:val="20"/>
        <w:lang w:val="es-MX"/>
      </w:rPr>
      <w:t>POSGRADO EN INGENIERÍA AMBIENTAL</w:t>
    </w:r>
  </w:p>
  <w:p w:rsidR="00E00C23" w:rsidRPr="003575F9" w:rsidRDefault="0035791D" w:rsidP="003575F9">
    <w:pPr>
      <w:pStyle w:val="Encabezado"/>
      <w:ind w:left="1440"/>
      <w:jc w:val="left"/>
      <w:rPr>
        <w:lang w:val="es-MX"/>
      </w:rPr>
    </w:pPr>
    <w:r>
      <w:rPr>
        <w:rFonts w:ascii="Georgia" w:hAnsi="Georgia"/>
        <w:i/>
        <w:color w:val="17365D" w:themeColor="text2" w:themeShade="BF"/>
        <w:sz w:val="20"/>
        <w:lang w:val="es-MX"/>
      </w:rPr>
      <w:t>Tesis</w:t>
    </w:r>
    <w:r w:rsidR="004B03D8">
      <w:rPr>
        <w:lang w:val="es-MX"/>
      </w:rPr>
      <w:pict>
        <v:rect id="_x0000_i1025" style="width:0;height:1.5pt" o:hralign="center" o:hrstd="t" o:hr="t" fillcolor="#aca899"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23" w:rsidRPr="00C8280E" w:rsidRDefault="00E00C23" w:rsidP="00E00C23">
    <w:pPr>
      <w:pStyle w:val="Encabezado"/>
      <w:jc w:val="left"/>
      <w:rPr>
        <w:rFonts w:ascii="Georgia" w:hAnsi="Georgia"/>
        <w:b/>
        <w:color w:val="365F91" w:themeColor="accent1" w:themeShade="BF"/>
        <w:sz w:val="20"/>
        <w:lang w:val="es-MX"/>
      </w:rPr>
    </w:pPr>
    <w:r w:rsidRPr="00C8280E">
      <w:rPr>
        <w:rFonts w:ascii="Georgia" w:hAnsi="Georgia"/>
        <w:noProof/>
        <w:color w:val="365F91" w:themeColor="accent1" w:themeShade="BF"/>
        <w:lang w:val="es-MX" w:eastAsia="es-MX"/>
      </w:rPr>
      <w:drawing>
        <wp:anchor distT="0" distB="0" distL="114300" distR="114300" simplePos="0" relativeHeight="251659264" behindDoc="0" locked="0" layoutInCell="1" allowOverlap="1" wp14:anchorId="56E84288" wp14:editId="274D2E0E">
          <wp:simplePos x="0" y="0"/>
          <wp:positionH relativeFrom="column">
            <wp:posOffset>3099171</wp:posOffset>
          </wp:positionH>
          <wp:positionV relativeFrom="paragraph">
            <wp:posOffset>-306705</wp:posOffset>
          </wp:positionV>
          <wp:extent cx="2388065" cy="801942"/>
          <wp:effectExtent l="0" t="0" r="0" b="0"/>
          <wp:wrapNone/>
          <wp:docPr id="15" name="Imagen 15" descr="http://posgrado.electrica.unam.mx/imagenes/posgradou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grado.electrica.unam.mx/imagenes/posgradounam.jp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388065" cy="801942"/>
                  </a:xfrm>
                  <a:prstGeom prst="rect">
                    <a:avLst/>
                  </a:prstGeom>
                  <a:noFill/>
                  <a:ln>
                    <a:noFill/>
                  </a:ln>
                </pic:spPr>
              </pic:pic>
            </a:graphicData>
          </a:graphic>
          <wp14:sizeRelH relativeFrom="margin">
            <wp14:pctWidth>0</wp14:pctWidth>
          </wp14:sizeRelH>
        </wp:anchor>
      </w:drawing>
    </w:r>
    <w:r w:rsidRPr="00C8280E">
      <w:rPr>
        <w:rFonts w:ascii="Georgia" w:hAnsi="Georgia"/>
        <w:color w:val="365F91" w:themeColor="accent1" w:themeShade="BF"/>
        <w:sz w:val="20"/>
        <w:lang w:val="es-MX"/>
      </w:rPr>
      <w:t>UNIVERSIDAD NACIONAL AUTÓNOMA DE MÉXICO</w:t>
    </w:r>
  </w:p>
  <w:p w:rsidR="00E00C23" w:rsidRPr="00C8280E" w:rsidRDefault="00E00C23" w:rsidP="00E00C23">
    <w:pPr>
      <w:pStyle w:val="Encabezado"/>
      <w:ind w:left="720"/>
      <w:jc w:val="left"/>
      <w:rPr>
        <w:rFonts w:ascii="Georgia" w:hAnsi="Georgia"/>
        <w:color w:val="CC9900"/>
        <w:sz w:val="20"/>
        <w:lang w:val="es-MX"/>
      </w:rPr>
    </w:pPr>
    <w:r w:rsidRPr="00C8280E">
      <w:rPr>
        <w:rFonts w:ascii="Georgia" w:hAnsi="Georgia"/>
        <w:color w:val="CC9900"/>
        <w:sz w:val="20"/>
        <w:lang w:val="es-MX"/>
      </w:rPr>
      <w:t>POSGRADO EN INGENIERÍA AMBIENTAL</w:t>
    </w:r>
  </w:p>
  <w:p w:rsidR="00E00C23" w:rsidRPr="00E00C23" w:rsidRDefault="0035791D" w:rsidP="00E00C23">
    <w:pPr>
      <w:pStyle w:val="Encabezado"/>
      <w:ind w:left="1440"/>
      <w:jc w:val="left"/>
      <w:rPr>
        <w:lang w:val="es-MX"/>
      </w:rPr>
    </w:pPr>
    <w:r>
      <w:rPr>
        <w:rFonts w:ascii="Georgia" w:hAnsi="Georgia"/>
        <w:i/>
        <w:color w:val="17365D" w:themeColor="text2" w:themeShade="BF"/>
        <w:sz w:val="20"/>
        <w:lang w:val="es-MX"/>
      </w:rPr>
      <w:t>Tesis</w:t>
    </w:r>
    <w:r w:rsidR="004B03D8">
      <w:rPr>
        <w:lang w:val="es-MX"/>
      </w:rPr>
      <w:pict>
        <v:rect id="_x0000_i1026" style="width:0;height:1.5pt" o:hralign="center" o:hrstd="t" o:hr="t" fillcolor="#aca899"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D0"/>
    <w:rsid w:val="00001F3E"/>
    <w:rsid w:val="00057066"/>
    <w:rsid w:val="0007399F"/>
    <w:rsid w:val="00085125"/>
    <w:rsid w:val="000863A1"/>
    <w:rsid w:val="00096577"/>
    <w:rsid w:val="000A727C"/>
    <w:rsid w:val="000B4C0F"/>
    <w:rsid w:val="000E3884"/>
    <w:rsid w:val="0010620C"/>
    <w:rsid w:val="00124FA7"/>
    <w:rsid w:val="00135FB5"/>
    <w:rsid w:val="001710DB"/>
    <w:rsid w:val="00195D7D"/>
    <w:rsid w:val="001967BA"/>
    <w:rsid w:val="001A0D83"/>
    <w:rsid w:val="001B3F72"/>
    <w:rsid w:val="001B71EF"/>
    <w:rsid w:val="001C3C42"/>
    <w:rsid w:val="001D32DF"/>
    <w:rsid w:val="0020208B"/>
    <w:rsid w:val="0022510C"/>
    <w:rsid w:val="00225E55"/>
    <w:rsid w:val="002266D3"/>
    <w:rsid w:val="0022729D"/>
    <w:rsid w:val="002330C4"/>
    <w:rsid w:val="002528A8"/>
    <w:rsid w:val="002D18B6"/>
    <w:rsid w:val="002E3A7F"/>
    <w:rsid w:val="002E5AD0"/>
    <w:rsid w:val="003027C4"/>
    <w:rsid w:val="00320F50"/>
    <w:rsid w:val="00334259"/>
    <w:rsid w:val="003575F9"/>
    <w:rsid w:val="0035791D"/>
    <w:rsid w:val="0036379B"/>
    <w:rsid w:val="00384BC5"/>
    <w:rsid w:val="00394286"/>
    <w:rsid w:val="003C0B6A"/>
    <w:rsid w:val="003E3656"/>
    <w:rsid w:val="0040569A"/>
    <w:rsid w:val="00412371"/>
    <w:rsid w:val="004152E3"/>
    <w:rsid w:val="00435134"/>
    <w:rsid w:val="00482B93"/>
    <w:rsid w:val="004B03D8"/>
    <w:rsid w:val="004B50F9"/>
    <w:rsid w:val="004C2CBB"/>
    <w:rsid w:val="004D31F9"/>
    <w:rsid w:val="00512C14"/>
    <w:rsid w:val="00592B47"/>
    <w:rsid w:val="005E06F8"/>
    <w:rsid w:val="005F7B68"/>
    <w:rsid w:val="00602388"/>
    <w:rsid w:val="00602F3B"/>
    <w:rsid w:val="006058CA"/>
    <w:rsid w:val="00611CFF"/>
    <w:rsid w:val="0063157D"/>
    <w:rsid w:val="00632FD9"/>
    <w:rsid w:val="006949FF"/>
    <w:rsid w:val="006A2A40"/>
    <w:rsid w:val="006C52B6"/>
    <w:rsid w:val="006E0DC6"/>
    <w:rsid w:val="006F3BAC"/>
    <w:rsid w:val="007000FA"/>
    <w:rsid w:val="00744686"/>
    <w:rsid w:val="007A41D2"/>
    <w:rsid w:val="007D10B5"/>
    <w:rsid w:val="007D4042"/>
    <w:rsid w:val="007D4639"/>
    <w:rsid w:val="008142A0"/>
    <w:rsid w:val="00822766"/>
    <w:rsid w:val="00824917"/>
    <w:rsid w:val="00861A63"/>
    <w:rsid w:val="00874295"/>
    <w:rsid w:val="008C5A70"/>
    <w:rsid w:val="00934D95"/>
    <w:rsid w:val="0097135A"/>
    <w:rsid w:val="00977BE4"/>
    <w:rsid w:val="009968AE"/>
    <w:rsid w:val="00A62508"/>
    <w:rsid w:val="00A75A76"/>
    <w:rsid w:val="00B06FD5"/>
    <w:rsid w:val="00B079D9"/>
    <w:rsid w:val="00B45FCE"/>
    <w:rsid w:val="00B57534"/>
    <w:rsid w:val="00B710CC"/>
    <w:rsid w:val="00B73BC7"/>
    <w:rsid w:val="00B75335"/>
    <w:rsid w:val="00BC1441"/>
    <w:rsid w:val="00BD07D8"/>
    <w:rsid w:val="00BD2AF0"/>
    <w:rsid w:val="00BF2D46"/>
    <w:rsid w:val="00C1160F"/>
    <w:rsid w:val="00C11672"/>
    <w:rsid w:val="00C326C2"/>
    <w:rsid w:val="00C53DF1"/>
    <w:rsid w:val="00C643D8"/>
    <w:rsid w:val="00C65503"/>
    <w:rsid w:val="00CE32DE"/>
    <w:rsid w:val="00CF0F26"/>
    <w:rsid w:val="00D00BEA"/>
    <w:rsid w:val="00D756F6"/>
    <w:rsid w:val="00DA6316"/>
    <w:rsid w:val="00DB12C4"/>
    <w:rsid w:val="00DC2D8B"/>
    <w:rsid w:val="00E00C23"/>
    <w:rsid w:val="00E077B4"/>
    <w:rsid w:val="00E42E86"/>
    <w:rsid w:val="00E433B3"/>
    <w:rsid w:val="00E46A5F"/>
    <w:rsid w:val="00E50CE1"/>
    <w:rsid w:val="00E64E27"/>
    <w:rsid w:val="00EA1A4B"/>
    <w:rsid w:val="00ED6990"/>
    <w:rsid w:val="00EE4DE4"/>
    <w:rsid w:val="00F108EB"/>
    <w:rsid w:val="00F22D28"/>
    <w:rsid w:val="00F36AA9"/>
    <w:rsid w:val="00F4098C"/>
    <w:rsid w:val="00F6090A"/>
    <w:rsid w:val="00F61A2D"/>
    <w:rsid w:val="00F73027"/>
    <w:rsid w:val="00FA6492"/>
    <w:rsid w:val="00FC0511"/>
    <w:rsid w:val="00FC4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92D9E-D01A-41BF-B8A3-1B9403E0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D0"/>
    <w:pPr>
      <w:spacing w:after="0" w:line="36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2E5AD0"/>
    <w:pPr>
      <w:keepNext/>
      <w:keepLines/>
      <w:spacing w:before="240"/>
      <w:outlineLvl w:val="0"/>
    </w:pPr>
    <w:rPr>
      <w:rFonts w:eastAsiaTheme="majorEastAsia" w:cstheme="majorBidi"/>
      <w:b/>
      <w:color w:val="365F91" w:themeColor="accent1" w:themeShade="BF"/>
      <w:sz w:val="32"/>
      <w:szCs w:val="32"/>
    </w:rPr>
  </w:style>
  <w:style w:type="paragraph" w:styleId="Ttulo2">
    <w:name w:val="heading 2"/>
    <w:basedOn w:val="Normal"/>
    <w:next w:val="Normal"/>
    <w:link w:val="Ttulo2Car"/>
    <w:uiPriority w:val="9"/>
    <w:unhideWhenUsed/>
    <w:qFormat/>
    <w:rsid w:val="002E5AD0"/>
    <w:pPr>
      <w:keepNext/>
      <w:keepLines/>
      <w:spacing w:before="40"/>
      <w:outlineLvl w:val="1"/>
    </w:pPr>
    <w:rPr>
      <w:rFonts w:eastAsiaTheme="majorEastAsia" w:cstheme="majorBidi"/>
      <w:b/>
      <w:color w:val="0066CC"/>
      <w:sz w:val="28"/>
      <w:szCs w:val="26"/>
    </w:rPr>
  </w:style>
  <w:style w:type="paragraph" w:styleId="Ttulo3">
    <w:name w:val="heading 3"/>
    <w:basedOn w:val="Normal"/>
    <w:next w:val="Normal"/>
    <w:link w:val="Ttulo3Car"/>
    <w:uiPriority w:val="9"/>
    <w:unhideWhenUsed/>
    <w:qFormat/>
    <w:rsid w:val="002E5AD0"/>
    <w:pPr>
      <w:keepNext/>
      <w:keepLines/>
      <w:spacing w:before="40"/>
      <w:outlineLvl w:val="2"/>
    </w:pPr>
    <w:rPr>
      <w:rFonts w:eastAsiaTheme="majorEastAsia" w:cstheme="majorBidi"/>
      <w:b/>
      <w:color w:val="243F60" w:themeColor="accent1" w:themeShade="7F"/>
    </w:rPr>
  </w:style>
  <w:style w:type="paragraph" w:styleId="Ttulo4">
    <w:name w:val="heading 4"/>
    <w:basedOn w:val="Normal"/>
    <w:next w:val="Normal"/>
    <w:link w:val="Ttulo4Car"/>
    <w:uiPriority w:val="9"/>
    <w:unhideWhenUsed/>
    <w:qFormat/>
    <w:rsid w:val="002E5AD0"/>
    <w:pPr>
      <w:keepNext/>
      <w:keepLines/>
      <w:spacing w:before="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unhideWhenUsed/>
    <w:qFormat/>
    <w:rsid w:val="002E5AD0"/>
    <w:pPr>
      <w:keepNext/>
      <w:keepLines/>
      <w:spacing w:before="40"/>
      <w:ind w:left="708"/>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2E5AD0"/>
    <w:pPr>
      <w:keepNext/>
      <w:keepLines/>
      <w:spacing w:before="40"/>
      <w:outlineLvl w:val="5"/>
    </w:pPr>
    <w:rPr>
      <w:rFonts w:asciiTheme="majorHAnsi" w:eastAsiaTheme="majorEastAsia" w:hAnsiTheme="majorHAnsi" w:cstheme="majorBidi"/>
      <w:b/>
      <w:color w:val="243F60" w:themeColor="accent1" w:themeShade="7F"/>
    </w:rPr>
  </w:style>
  <w:style w:type="paragraph" w:styleId="Ttulo7">
    <w:name w:val="heading 7"/>
    <w:basedOn w:val="Normal"/>
    <w:next w:val="Normal"/>
    <w:link w:val="Ttulo7Car"/>
    <w:uiPriority w:val="9"/>
    <w:unhideWhenUsed/>
    <w:qFormat/>
    <w:rsid w:val="002E5AD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5AD0"/>
    <w:rPr>
      <w:rFonts w:ascii="Arial" w:eastAsiaTheme="majorEastAsia" w:hAnsi="Arial" w:cstheme="majorBidi"/>
      <w:b/>
      <w:color w:val="365F91" w:themeColor="accent1" w:themeShade="BF"/>
      <w:sz w:val="32"/>
      <w:szCs w:val="32"/>
      <w:lang w:val="es-ES" w:eastAsia="es-ES"/>
    </w:rPr>
  </w:style>
  <w:style w:type="character" w:customStyle="1" w:styleId="Ttulo2Car">
    <w:name w:val="Título 2 Car"/>
    <w:basedOn w:val="Fuentedeprrafopredeter"/>
    <w:link w:val="Ttulo2"/>
    <w:uiPriority w:val="9"/>
    <w:rsid w:val="002E5AD0"/>
    <w:rPr>
      <w:rFonts w:ascii="Arial" w:eastAsiaTheme="majorEastAsia" w:hAnsi="Arial" w:cstheme="majorBidi"/>
      <w:b/>
      <w:color w:val="0066CC"/>
      <w:sz w:val="28"/>
      <w:szCs w:val="26"/>
      <w:lang w:val="es-ES" w:eastAsia="es-ES"/>
    </w:rPr>
  </w:style>
  <w:style w:type="character" w:customStyle="1" w:styleId="Ttulo3Car">
    <w:name w:val="Título 3 Car"/>
    <w:basedOn w:val="Fuentedeprrafopredeter"/>
    <w:link w:val="Ttulo3"/>
    <w:uiPriority w:val="9"/>
    <w:rsid w:val="002E5AD0"/>
    <w:rPr>
      <w:rFonts w:ascii="Arial" w:eastAsiaTheme="majorEastAsia" w:hAnsi="Arial" w:cstheme="majorBidi"/>
      <w:b/>
      <w:color w:val="243F60" w:themeColor="accent1" w:themeShade="7F"/>
      <w:sz w:val="24"/>
      <w:szCs w:val="24"/>
      <w:lang w:val="es-ES" w:eastAsia="es-ES"/>
    </w:rPr>
  </w:style>
  <w:style w:type="character" w:customStyle="1" w:styleId="Ttulo4Car">
    <w:name w:val="Título 4 Car"/>
    <w:basedOn w:val="Fuentedeprrafopredeter"/>
    <w:link w:val="Ttulo4"/>
    <w:uiPriority w:val="9"/>
    <w:rsid w:val="002E5AD0"/>
    <w:rPr>
      <w:rFonts w:ascii="Arial" w:eastAsiaTheme="majorEastAsia" w:hAnsi="Arial" w:cstheme="majorBidi"/>
      <w:i/>
      <w:iCs/>
      <w:color w:val="365F91" w:themeColor="accent1" w:themeShade="BF"/>
      <w:sz w:val="24"/>
      <w:szCs w:val="24"/>
      <w:lang w:val="es-ES" w:eastAsia="es-ES"/>
    </w:rPr>
  </w:style>
  <w:style w:type="character" w:customStyle="1" w:styleId="Ttulo5Car">
    <w:name w:val="Título 5 Car"/>
    <w:basedOn w:val="Fuentedeprrafopredeter"/>
    <w:link w:val="Ttulo5"/>
    <w:uiPriority w:val="9"/>
    <w:rsid w:val="002E5AD0"/>
    <w:rPr>
      <w:rFonts w:asciiTheme="majorHAnsi" w:eastAsiaTheme="majorEastAsia" w:hAnsiTheme="majorHAnsi" w:cstheme="majorBidi"/>
      <w:color w:val="365F91" w:themeColor="accent1" w:themeShade="BF"/>
      <w:sz w:val="24"/>
      <w:szCs w:val="24"/>
      <w:lang w:val="es-ES" w:eastAsia="es-ES"/>
    </w:rPr>
  </w:style>
  <w:style w:type="character" w:customStyle="1" w:styleId="Ttulo6Car">
    <w:name w:val="Título 6 Car"/>
    <w:basedOn w:val="Fuentedeprrafopredeter"/>
    <w:link w:val="Ttulo6"/>
    <w:uiPriority w:val="9"/>
    <w:rsid w:val="002E5AD0"/>
    <w:rPr>
      <w:rFonts w:asciiTheme="majorHAnsi" w:eastAsiaTheme="majorEastAsia" w:hAnsiTheme="majorHAnsi" w:cstheme="majorBidi"/>
      <w:b/>
      <w:color w:val="243F60" w:themeColor="accent1" w:themeShade="7F"/>
      <w:sz w:val="24"/>
      <w:szCs w:val="24"/>
      <w:lang w:val="es-ES" w:eastAsia="es-ES"/>
    </w:rPr>
  </w:style>
  <w:style w:type="character" w:customStyle="1" w:styleId="Ttulo7Car">
    <w:name w:val="Título 7 Car"/>
    <w:basedOn w:val="Fuentedeprrafopredeter"/>
    <w:link w:val="Ttulo7"/>
    <w:uiPriority w:val="9"/>
    <w:rsid w:val="002E5AD0"/>
    <w:rPr>
      <w:rFonts w:asciiTheme="majorHAnsi" w:eastAsiaTheme="majorEastAsia" w:hAnsiTheme="majorHAnsi" w:cstheme="majorBidi"/>
      <w:i/>
      <w:iCs/>
      <w:color w:val="243F60" w:themeColor="accent1" w:themeShade="7F"/>
      <w:sz w:val="24"/>
      <w:szCs w:val="24"/>
      <w:lang w:val="es-ES" w:eastAsia="es-ES"/>
    </w:rPr>
  </w:style>
  <w:style w:type="paragraph" w:styleId="Textoindependiente">
    <w:name w:val="Body Text"/>
    <w:basedOn w:val="Normal"/>
    <w:link w:val="TextoindependienteCar"/>
    <w:rsid w:val="002E5AD0"/>
    <w:rPr>
      <w:sz w:val="22"/>
      <w:szCs w:val="20"/>
    </w:rPr>
  </w:style>
  <w:style w:type="character" w:customStyle="1" w:styleId="TextoindependienteCar">
    <w:name w:val="Texto independiente Car"/>
    <w:basedOn w:val="Fuentedeprrafopredeter"/>
    <w:link w:val="Textoindependiente"/>
    <w:rsid w:val="002E5AD0"/>
    <w:rPr>
      <w:rFonts w:ascii="Arial" w:eastAsia="Times New Roman" w:hAnsi="Arial" w:cs="Times New Roman"/>
      <w:szCs w:val="20"/>
      <w:lang w:val="es-ES" w:eastAsia="es-ES"/>
    </w:rPr>
  </w:style>
  <w:style w:type="paragraph" w:styleId="Prrafodelista">
    <w:name w:val="List Paragraph"/>
    <w:basedOn w:val="Normal"/>
    <w:link w:val="PrrafodelistaCar"/>
    <w:uiPriority w:val="34"/>
    <w:qFormat/>
    <w:rsid w:val="002E5AD0"/>
    <w:pPr>
      <w:ind w:left="708"/>
    </w:pPr>
  </w:style>
  <w:style w:type="character" w:customStyle="1" w:styleId="PrrafodelistaCar">
    <w:name w:val="Párrafo de lista Car"/>
    <w:basedOn w:val="Fuentedeprrafopredeter"/>
    <w:link w:val="Prrafodelista"/>
    <w:uiPriority w:val="34"/>
    <w:rsid w:val="002E5AD0"/>
    <w:rPr>
      <w:rFonts w:ascii="Arial" w:eastAsia="Times New Roman" w:hAnsi="Arial" w:cs="Times New Roman"/>
      <w:sz w:val="24"/>
      <w:szCs w:val="24"/>
      <w:lang w:val="es-ES" w:eastAsia="es-ES"/>
    </w:rPr>
  </w:style>
  <w:style w:type="paragraph" w:styleId="Sinespaciado">
    <w:name w:val="No Spacing"/>
    <w:uiPriority w:val="1"/>
    <w:qFormat/>
    <w:rsid w:val="002E5AD0"/>
    <w:pPr>
      <w:spacing w:after="0" w:line="240" w:lineRule="auto"/>
    </w:pPr>
    <w:rPr>
      <w:rFonts w:ascii="Arial" w:eastAsia="Times New Roman" w:hAnsi="Arial" w:cs="Times New Roman"/>
      <w:sz w:val="24"/>
      <w:szCs w:val="24"/>
      <w:lang w:val="es-ES" w:eastAsia="es-ES"/>
    </w:rPr>
  </w:style>
  <w:style w:type="paragraph" w:styleId="Descripcin">
    <w:name w:val="caption"/>
    <w:basedOn w:val="Normal"/>
    <w:next w:val="Normal"/>
    <w:uiPriority w:val="35"/>
    <w:unhideWhenUsed/>
    <w:qFormat/>
    <w:rsid w:val="002E5AD0"/>
    <w:pPr>
      <w:spacing w:after="200"/>
    </w:pPr>
    <w:rPr>
      <w:b/>
      <w:iCs/>
      <w:sz w:val="20"/>
      <w:szCs w:val="18"/>
    </w:rPr>
  </w:style>
  <w:style w:type="table" w:styleId="Tablaconcuadrcula">
    <w:name w:val="Table Grid"/>
    <w:basedOn w:val="Tablanormal"/>
    <w:uiPriority w:val="39"/>
    <w:rsid w:val="002E5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2E5A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nfasis11">
    <w:name w:val="Tabla de cuadrícula 4 - Énfasis 11"/>
    <w:basedOn w:val="Tablanormal"/>
    <w:uiPriority w:val="49"/>
    <w:rsid w:val="002E5A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unhideWhenUsed/>
    <w:rsid w:val="002E5AD0"/>
    <w:rPr>
      <w:color w:val="0000FF" w:themeColor="hyperlink"/>
      <w:u w:val="single"/>
    </w:rPr>
  </w:style>
  <w:style w:type="paragraph" w:styleId="Textodeglobo">
    <w:name w:val="Balloon Text"/>
    <w:basedOn w:val="Normal"/>
    <w:link w:val="TextodegloboCar"/>
    <w:uiPriority w:val="99"/>
    <w:semiHidden/>
    <w:unhideWhenUsed/>
    <w:rsid w:val="002E5AD0"/>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AD0"/>
    <w:rPr>
      <w:rFonts w:ascii="Tahoma" w:eastAsia="Times New Roman" w:hAnsi="Tahoma" w:cs="Tahoma"/>
      <w:sz w:val="16"/>
      <w:szCs w:val="16"/>
      <w:lang w:val="es-ES" w:eastAsia="es-ES"/>
    </w:rPr>
  </w:style>
  <w:style w:type="paragraph" w:styleId="NormalWeb">
    <w:name w:val="Normal (Web)"/>
    <w:basedOn w:val="Normal"/>
    <w:uiPriority w:val="99"/>
    <w:rsid w:val="002E5AD0"/>
    <w:pPr>
      <w:spacing w:before="100" w:beforeAutospacing="1" w:after="100" w:afterAutospacing="1"/>
    </w:pPr>
    <w:rPr>
      <w:rFonts w:ascii="Times New Roman" w:hAnsi="Times New Roman"/>
      <w:lang w:val="es-ES_tradnl" w:eastAsia="es-ES_tradnl"/>
    </w:rPr>
  </w:style>
  <w:style w:type="table" w:customStyle="1" w:styleId="Sombreadoclaro-nfasis11">
    <w:name w:val="Sombreado claro - Énfasis 11"/>
    <w:basedOn w:val="Tablanormal"/>
    <w:uiPriority w:val="60"/>
    <w:rsid w:val="002E5AD0"/>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delista3-nfasis11">
    <w:name w:val="Tabla de lista 3 - Énfasis 11"/>
    <w:basedOn w:val="Tablanormal"/>
    <w:uiPriority w:val="48"/>
    <w:rsid w:val="002E5AD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cuadrcula5oscura-nfasis12">
    <w:name w:val="Tabla de cuadrícula 5 oscura - Énfasis 12"/>
    <w:basedOn w:val="Tablanormal"/>
    <w:uiPriority w:val="50"/>
    <w:rsid w:val="002E5A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pple-converted-space">
    <w:name w:val="apple-converted-space"/>
    <w:basedOn w:val="Fuentedeprrafopredeter"/>
    <w:rsid w:val="002E5AD0"/>
  </w:style>
  <w:style w:type="character" w:customStyle="1" w:styleId="A7">
    <w:name w:val="A7"/>
    <w:uiPriority w:val="99"/>
    <w:rsid w:val="002E5AD0"/>
    <w:rPr>
      <w:rFonts w:cs="Garamond"/>
      <w:color w:val="000000"/>
      <w:sz w:val="20"/>
      <w:szCs w:val="20"/>
    </w:rPr>
  </w:style>
  <w:style w:type="paragraph" w:styleId="TtulodeTDC">
    <w:name w:val="TOC Heading"/>
    <w:basedOn w:val="Ttulo1"/>
    <w:next w:val="Normal"/>
    <w:uiPriority w:val="39"/>
    <w:unhideWhenUsed/>
    <w:qFormat/>
    <w:rsid w:val="002E5AD0"/>
    <w:pPr>
      <w:spacing w:line="259" w:lineRule="auto"/>
      <w:jc w:val="center"/>
      <w:outlineLvl w:val="9"/>
    </w:pPr>
    <w:rPr>
      <w:lang w:val="es-MX" w:eastAsia="es-MX"/>
    </w:rPr>
  </w:style>
  <w:style w:type="paragraph" w:styleId="TDC1">
    <w:name w:val="toc 1"/>
    <w:basedOn w:val="Normal"/>
    <w:next w:val="Normal"/>
    <w:autoRedefine/>
    <w:uiPriority w:val="39"/>
    <w:unhideWhenUsed/>
    <w:rsid w:val="002E5AD0"/>
    <w:pPr>
      <w:spacing w:after="100"/>
    </w:pPr>
  </w:style>
  <w:style w:type="paragraph" w:styleId="TDC2">
    <w:name w:val="toc 2"/>
    <w:basedOn w:val="Normal"/>
    <w:next w:val="Normal"/>
    <w:autoRedefine/>
    <w:uiPriority w:val="39"/>
    <w:unhideWhenUsed/>
    <w:rsid w:val="002E5AD0"/>
    <w:pPr>
      <w:spacing w:after="100"/>
      <w:ind w:left="240"/>
    </w:pPr>
  </w:style>
  <w:style w:type="paragraph" w:styleId="TDC3">
    <w:name w:val="toc 3"/>
    <w:basedOn w:val="Normal"/>
    <w:next w:val="Normal"/>
    <w:autoRedefine/>
    <w:uiPriority w:val="39"/>
    <w:unhideWhenUsed/>
    <w:rsid w:val="002E5AD0"/>
    <w:pPr>
      <w:spacing w:after="100"/>
      <w:ind w:left="480"/>
    </w:pPr>
  </w:style>
  <w:style w:type="paragraph" w:styleId="TDC4">
    <w:name w:val="toc 4"/>
    <w:basedOn w:val="Normal"/>
    <w:next w:val="Normal"/>
    <w:autoRedefine/>
    <w:uiPriority w:val="39"/>
    <w:unhideWhenUsed/>
    <w:rsid w:val="002E5AD0"/>
    <w:pPr>
      <w:spacing w:after="100"/>
      <w:ind w:left="720"/>
    </w:pPr>
  </w:style>
  <w:style w:type="paragraph" w:styleId="TDC5">
    <w:name w:val="toc 5"/>
    <w:basedOn w:val="Normal"/>
    <w:next w:val="Normal"/>
    <w:autoRedefine/>
    <w:uiPriority w:val="39"/>
    <w:unhideWhenUsed/>
    <w:rsid w:val="002E5AD0"/>
    <w:pPr>
      <w:spacing w:after="100"/>
      <w:ind w:left="960"/>
    </w:pPr>
  </w:style>
  <w:style w:type="paragraph" w:styleId="Tabladeilustraciones">
    <w:name w:val="table of figures"/>
    <w:basedOn w:val="Normal"/>
    <w:next w:val="Normal"/>
    <w:uiPriority w:val="99"/>
    <w:unhideWhenUsed/>
    <w:rsid w:val="002E5AD0"/>
    <w:pPr>
      <w:ind w:left="480" w:hanging="480"/>
      <w:jc w:val="left"/>
    </w:pPr>
    <w:rPr>
      <w:rFonts w:asciiTheme="minorHAnsi" w:hAnsiTheme="minorHAnsi"/>
      <w:b/>
      <w:bCs/>
      <w:sz w:val="20"/>
      <w:szCs w:val="20"/>
    </w:rPr>
  </w:style>
  <w:style w:type="paragraph" w:styleId="Encabezado">
    <w:name w:val="header"/>
    <w:basedOn w:val="Normal"/>
    <w:link w:val="EncabezadoCar"/>
    <w:uiPriority w:val="99"/>
    <w:unhideWhenUsed/>
    <w:rsid w:val="002E5A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E5AD0"/>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2E5A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E5AD0"/>
    <w:rPr>
      <w:rFonts w:ascii="Arial" w:eastAsia="Times New Roman" w:hAnsi="Arial" w:cs="Times New Roman"/>
      <w:sz w:val="24"/>
      <w:szCs w:val="24"/>
      <w:lang w:val="es-ES" w:eastAsia="es-ES"/>
    </w:rPr>
  </w:style>
  <w:style w:type="paragraph" w:styleId="Textocomentario">
    <w:name w:val="annotation text"/>
    <w:basedOn w:val="Normal"/>
    <w:link w:val="TextocomentarioCar"/>
    <w:uiPriority w:val="99"/>
    <w:semiHidden/>
    <w:unhideWhenUsed/>
    <w:rsid w:val="002E5A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5AD0"/>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AD0"/>
    <w:rPr>
      <w:b/>
      <w:bCs/>
    </w:rPr>
  </w:style>
  <w:style w:type="character" w:customStyle="1" w:styleId="AsuntodelcomentarioCar">
    <w:name w:val="Asunto del comentario Car"/>
    <w:basedOn w:val="TextocomentarioCar"/>
    <w:link w:val="Asuntodelcomentario"/>
    <w:uiPriority w:val="99"/>
    <w:semiHidden/>
    <w:rsid w:val="002E5AD0"/>
    <w:rPr>
      <w:rFonts w:ascii="Arial" w:eastAsia="Times New Roman" w:hAnsi="Arial" w:cs="Times New Roman"/>
      <w:b/>
      <w:bCs/>
      <w:sz w:val="20"/>
      <w:szCs w:val="20"/>
      <w:lang w:val="es-ES" w:eastAsia="es-ES"/>
    </w:rPr>
  </w:style>
  <w:style w:type="paragraph" w:customStyle="1" w:styleId="Default">
    <w:name w:val="Default"/>
    <w:rsid w:val="002E5AD0"/>
    <w:pPr>
      <w:autoSpaceDE w:val="0"/>
      <w:autoSpaceDN w:val="0"/>
      <w:adjustRightInd w:val="0"/>
      <w:spacing w:after="0" w:line="240" w:lineRule="auto"/>
    </w:pPr>
    <w:rPr>
      <w:rFonts w:ascii="Arial" w:hAnsi="Arial" w:cs="Arial"/>
      <w:color w:val="000000"/>
      <w:sz w:val="24"/>
      <w:szCs w:val="24"/>
    </w:rPr>
  </w:style>
  <w:style w:type="paragraph" w:customStyle="1" w:styleId="xl65">
    <w:name w:val="xl65"/>
    <w:basedOn w:val="Normal"/>
    <w:rsid w:val="002E5AD0"/>
    <w:pPr>
      <w:spacing w:before="100" w:beforeAutospacing="1" w:after="100" w:afterAutospacing="1" w:line="240" w:lineRule="auto"/>
      <w:jc w:val="center"/>
    </w:pPr>
    <w:rPr>
      <w:rFonts w:ascii="Times New Roman" w:hAnsi="Times New Roman"/>
      <w:b/>
      <w:bCs/>
      <w:lang w:val="es-MX" w:eastAsia="es-MX"/>
    </w:rPr>
  </w:style>
  <w:style w:type="paragraph" w:customStyle="1" w:styleId="xl66">
    <w:name w:val="xl66"/>
    <w:basedOn w:val="Normal"/>
    <w:rsid w:val="002E5AD0"/>
    <w:pPr>
      <w:spacing w:before="100" w:beforeAutospacing="1" w:after="100" w:afterAutospacing="1" w:line="240" w:lineRule="auto"/>
      <w:jc w:val="center"/>
    </w:pPr>
    <w:rPr>
      <w:rFonts w:ascii="Times New Roman" w:hAnsi="Times New Roman"/>
      <w:b/>
      <w:bCs/>
      <w:color w:val="000000"/>
      <w:lang w:val="es-MX" w:eastAsia="es-MX"/>
    </w:rPr>
  </w:style>
  <w:style w:type="paragraph" w:customStyle="1" w:styleId="xl67">
    <w:name w:val="xl67"/>
    <w:basedOn w:val="Normal"/>
    <w:rsid w:val="002E5AD0"/>
    <w:pPr>
      <w:spacing w:before="100" w:beforeAutospacing="1" w:after="100" w:afterAutospacing="1" w:line="240" w:lineRule="auto"/>
      <w:jc w:val="right"/>
    </w:pPr>
    <w:rPr>
      <w:rFonts w:ascii="Times New Roman" w:hAnsi="Times New Roman"/>
      <w:lang w:val="es-MX" w:eastAsia="es-MX"/>
    </w:rPr>
  </w:style>
  <w:style w:type="paragraph" w:customStyle="1" w:styleId="xl69">
    <w:name w:val="xl69"/>
    <w:basedOn w:val="Normal"/>
    <w:rsid w:val="002E5AD0"/>
    <w:pPr>
      <w:spacing w:before="100" w:beforeAutospacing="1" w:after="100" w:afterAutospacing="1" w:line="240" w:lineRule="auto"/>
      <w:jc w:val="center"/>
    </w:pPr>
    <w:rPr>
      <w:rFonts w:ascii="Times New Roman" w:hAnsi="Times New Roman"/>
      <w:color w:val="000000"/>
      <w:lang w:val="es-MX" w:eastAsia="es-MX"/>
    </w:rPr>
  </w:style>
  <w:style w:type="paragraph" w:customStyle="1" w:styleId="xl70">
    <w:name w:val="xl70"/>
    <w:basedOn w:val="Normal"/>
    <w:rsid w:val="002E5AD0"/>
    <w:pPr>
      <w:spacing w:before="100" w:beforeAutospacing="1" w:after="100" w:afterAutospacing="1" w:line="240" w:lineRule="auto"/>
      <w:jc w:val="right"/>
    </w:pPr>
    <w:rPr>
      <w:rFonts w:ascii="Times New Roman" w:hAnsi="Times New Roman"/>
      <w:color w:val="000000"/>
      <w:lang w:val="es-MX" w:eastAsia="es-MX"/>
    </w:rPr>
  </w:style>
  <w:style w:type="paragraph" w:customStyle="1" w:styleId="xl71">
    <w:name w:val="xl71"/>
    <w:basedOn w:val="Normal"/>
    <w:rsid w:val="002E5AD0"/>
    <w:pPr>
      <w:spacing w:before="100" w:beforeAutospacing="1" w:after="100" w:afterAutospacing="1" w:line="240" w:lineRule="auto"/>
      <w:jc w:val="right"/>
    </w:pPr>
    <w:rPr>
      <w:rFonts w:ascii="Times New Roman" w:hAnsi="Times New Roman"/>
      <w:color w:val="000000"/>
      <w:lang w:val="es-MX" w:eastAsia="es-MX"/>
    </w:rPr>
  </w:style>
  <w:style w:type="paragraph" w:customStyle="1" w:styleId="xl72">
    <w:name w:val="xl72"/>
    <w:basedOn w:val="Normal"/>
    <w:rsid w:val="002E5AD0"/>
    <w:pPr>
      <w:spacing w:before="100" w:beforeAutospacing="1" w:after="100" w:afterAutospacing="1" w:line="240" w:lineRule="auto"/>
      <w:jc w:val="left"/>
    </w:pPr>
    <w:rPr>
      <w:rFonts w:cs="Arial"/>
      <w:color w:val="000000"/>
      <w:sz w:val="20"/>
      <w:szCs w:val="20"/>
      <w:lang w:val="es-MX" w:eastAsia="es-MX"/>
    </w:rPr>
  </w:style>
  <w:style w:type="paragraph" w:customStyle="1" w:styleId="xl73">
    <w:name w:val="xl73"/>
    <w:basedOn w:val="Normal"/>
    <w:rsid w:val="002E5AD0"/>
    <w:pPr>
      <w:shd w:val="clear" w:color="000000" w:fill="00B050"/>
      <w:spacing w:before="100" w:beforeAutospacing="1" w:after="100" w:afterAutospacing="1" w:line="240" w:lineRule="auto"/>
      <w:jc w:val="right"/>
    </w:pPr>
    <w:rPr>
      <w:rFonts w:ascii="Times New Roman" w:hAnsi="Times New Roman"/>
      <w:color w:val="000000"/>
      <w:lang w:val="es-MX" w:eastAsia="es-MX"/>
    </w:rPr>
  </w:style>
  <w:style w:type="paragraph" w:customStyle="1" w:styleId="xl74">
    <w:name w:val="xl74"/>
    <w:basedOn w:val="Normal"/>
    <w:rsid w:val="002E5AD0"/>
    <w:pPr>
      <w:shd w:val="clear" w:color="000000" w:fill="00B050"/>
      <w:spacing w:before="100" w:beforeAutospacing="1" w:after="100" w:afterAutospacing="1" w:line="240" w:lineRule="auto"/>
      <w:jc w:val="left"/>
    </w:pPr>
    <w:rPr>
      <w:rFonts w:ascii="Times New Roman" w:hAnsi="Times New Roman"/>
      <w:lang w:val="es-MX" w:eastAsia="es-MX"/>
    </w:rPr>
  </w:style>
  <w:style w:type="paragraph" w:customStyle="1" w:styleId="xl75">
    <w:name w:val="xl75"/>
    <w:basedOn w:val="Normal"/>
    <w:rsid w:val="002E5AD0"/>
    <w:pPr>
      <w:shd w:val="clear" w:color="000000" w:fill="00B050"/>
      <w:spacing w:before="100" w:beforeAutospacing="1" w:after="100" w:afterAutospacing="1" w:line="240" w:lineRule="auto"/>
      <w:jc w:val="right"/>
    </w:pPr>
    <w:rPr>
      <w:rFonts w:ascii="Times New Roman" w:hAnsi="Times New Roman"/>
      <w:color w:val="000000"/>
      <w:lang w:val="es-MX" w:eastAsia="es-MX"/>
    </w:rPr>
  </w:style>
  <w:style w:type="paragraph" w:customStyle="1" w:styleId="Cuadros">
    <w:name w:val="Cuadros."/>
    <w:basedOn w:val="Normal"/>
    <w:link w:val="CuadrosCar"/>
    <w:qFormat/>
    <w:rsid w:val="002E5AD0"/>
    <w:pPr>
      <w:spacing w:after="200" w:line="240" w:lineRule="auto"/>
      <w:jc w:val="left"/>
    </w:pPr>
    <w:rPr>
      <w:rFonts w:cs="Arial"/>
      <w:i/>
      <w:sz w:val="20"/>
      <w:szCs w:val="20"/>
      <w:lang w:val="es-MX" w:eastAsia="es-MX"/>
    </w:rPr>
  </w:style>
  <w:style w:type="character" w:customStyle="1" w:styleId="CuadrosCar">
    <w:name w:val="Cuadros. Car"/>
    <w:basedOn w:val="Fuentedeprrafopredeter"/>
    <w:link w:val="Cuadros"/>
    <w:rsid w:val="002E5AD0"/>
    <w:rPr>
      <w:rFonts w:ascii="Arial" w:eastAsia="Times New Roman" w:hAnsi="Arial" w:cs="Arial"/>
      <w:i/>
      <w:sz w:val="20"/>
      <w:szCs w:val="20"/>
      <w:lang w:eastAsia="es-MX"/>
    </w:rPr>
  </w:style>
  <w:style w:type="paragraph" w:styleId="TDC6">
    <w:name w:val="toc 6"/>
    <w:basedOn w:val="Normal"/>
    <w:next w:val="Normal"/>
    <w:autoRedefine/>
    <w:uiPriority w:val="39"/>
    <w:unhideWhenUsed/>
    <w:rsid w:val="002E5AD0"/>
    <w:pPr>
      <w:spacing w:after="100" w:line="259" w:lineRule="auto"/>
      <w:ind w:left="110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2E5AD0"/>
    <w:pPr>
      <w:spacing w:after="100" w:line="259" w:lineRule="auto"/>
      <w:ind w:left="132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2E5AD0"/>
    <w:pPr>
      <w:spacing w:after="100" w:line="259" w:lineRule="auto"/>
      <w:ind w:left="154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2E5AD0"/>
    <w:pPr>
      <w:spacing w:after="100" w:line="259" w:lineRule="auto"/>
      <w:ind w:left="1760"/>
      <w:jc w:val="left"/>
    </w:pPr>
    <w:rPr>
      <w:rFonts w:asciiTheme="minorHAnsi" w:eastAsiaTheme="minorEastAsia" w:hAnsiTheme="minorHAnsi" w:cstheme="minorBidi"/>
      <w:sz w:val="22"/>
      <w:szCs w:val="22"/>
      <w:lang w:val="es-MX" w:eastAsia="es-MX"/>
    </w:rPr>
  </w:style>
  <w:style w:type="paragraph" w:styleId="HTMLconformatoprevio">
    <w:name w:val="HTML Preformatted"/>
    <w:basedOn w:val="Normal"/>
    <w:link w:val="HTMLconformatoprevioCar"/>
    <w:uiPriority w:val="99"/>
    <w:semiHidden/>
    <w:unhideWhenUsed/>
    <w:rsid w:val="002E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2E5AD0"/>
    <w:rPr>
      <w:rFonts w:ascii="Courier New" w:eastAsia="Times New Roman" w:hAnsi="Courier New" w:cs="Courier New"/>
      <w:sz w:val="20"/>
      <w:szCs w:val="20"/>
      <w:lang w:eastAsia="es-MX"/>
    </w:rPr>
  </w:style>
  <w:style w:type="character" w:customStyle="1" w:styleId="selectable">
    <w:name w:val="selectable"/>
    <w:basedOn w:val="Fuentedeprrafopredeter"/>
    <w:rsid w:val="002E5AD0"/>
  </w:style>
  <w:style w:type="paragraph" w:styleId="Revisin">
    <w:name w:val="Revision"/>
    <w:hidden/>
    <w:uiPriority w:val="99"/>
    <w:semiHidden/>
    <w:rsid w:val="002E5AD0"/>
    <w:pPr>
      <w:spacing w:after="0" w:line="240" w:lineRule="auto"/>
    </w:pPr>
    <w:rPr>
      <w:rFonts w:ascii="Arial" w:eastAsia="Times New Roman" w:hAnsi="Arial" w:cs="Times New Roman"/>
      <w:sz w:val="24"/>
      <w:szCs w:val="24"/>
      <w:lang w:val="es-ES" w:eastAsia="es-ES"/>
    </w:rPr>
  </w:style>
  <w:style w:type="paragraph" w:styleId="Subttulo">
    <w:name w:val="Subtitle"/>
    <w:basedOn w:val="Normal"/>
    <w:next w:val="Normal"/>
    <w:link w:val="SubttuloCar"/>
    <w:uiPriority w:val="11"/>
    <w:qFormat/>
    <w:rsid w:val="002E5A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E5AD0"/>
    <w:rPr>
      <w:rFonts w:eastAsiaTheme="minorEastAsia"/>
      <w:color w:val="5A5A5A" w:themeColor="text1" w:themeTint="A5"/>
      <w:spacing w:val="15"/>
      <w:lang w:val="es-ES" w:eastAsia="es-ES"/>
    </w:rPr>
  </w:style>
  <w:style w:type="table" w:customStyle="1" w:styleId="Tabladelista3-nfasis12">
    <w:name w:val="Tabla de lista 3 - Énfasis 12"/>
    <w:basedOn w:val="Tablanormal"/>
    <w:uiPriority w:val="48"/>
    <w:rsid w:val="002E5AD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2-nfasis51">
    <w:name w:val="Tabla de lista 2 - Énfasis 51"/>
    <w:basedOn w:val="Tablanormal"/>
    <w:uiPriority w:val="47"/>
    <w:rsid w:val="002E5AD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i\Documents\TrabajoT\Actividades\Percentiles\Percentiles_Uni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Documents\TrabajoT\Actividades\Percentiles\Percentiles_Uni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Documents\TrabajoT\Actividades\Percentiles\Percentiles_Unid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baseline="0">
                <a:effectLst/>
              </a:rPr>
              <a:t>Percentiles y RHN para la estación 27005</a:t>
            </a:r>
            <a:endParaRPr lang="es-MX"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'27005'!$B$1</c:f>
              <c:strCache>
                <c:ptCount val="1"/>
                <c:pt idx="0">
                  <c:v>Percentil 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'27005'!$B$2:$B$13</c:f>
              <c:numCache>
                <c:formatCode>General</c:formatCode>
                <c:ptCount val="12"/>
                <c:pt idx="0">
                  <c:v>3.2330000000000001</c:v>
                </c:pt>
                <c:pt idx="1">
                  <c:v>2.5979999999999999</c:v>
                </c:pt>
                <c:pt idx="2">
                  <c:v>2.3570000000000002</c:v>
                </c:pt>
                <c:pt idx="3">
                  <c:v>1.736</c:v>
                </c:pt>
                <c:pt idx="4">
                  <c:v>1.5649999999999999</c:v>
                </c:pt>
                <c:pt idx="5">
                  <c:v>1.7769999999999999</c:v>
                </c:pt>
                <c:pt idx="6">
                  <c:v>2.9129999999999998</c:v>
                </c:pt>
                <c:pt idx="7">
                  <c:v>3.5859999999999999</c:v>
                </c:pt>
                <c:pt idx="8">
                  <c:v>5.3239999999999998</c:v>
                </c:pt>
                <c:pt idx="9">
                  <c:v>4.9269999999999996</c:v>
                </c:pt>
                <c:pt idx="10">
                  <c:v>3.5139999999999998</c:v>
                </c:pt>
                <c:pt idx="11">
                  <c:v>3.544</c:v>
                </c:pt>
              </c:numCache>
            </c:numRef>
          </c:val>
          <c:smooth val="0"/>
          <c:extLst xmlns:c16r2="http://schemas.microsoft.com/office/drawing/2015/06/chart">
            <c:ext xmlns:c16="http://schemas.microsoft.com/office/drawing/2014/chart" uri="{C3380CC4-5D6E-409C-BE32-E72D297353CC}">
              <c16:uniqueId val="{00000000-98E7-4951-BC24-EF40481D5E4D}"/>
            </c:ext>
          </c:extLst>
        </c:ser>
        <c:ser>
          <c:idx val="1"/>
          <c:order val="1"/>
          <c:tx>
            <c:strRef>
              <c:f>'27005'!$C$1</c:f>
              <c:strCache>
                <c:ptCount val="1"/>
                <c:pt idx="0">
                  <c:v>Percentil 90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'27005'!$C$2:$C$13</c:f>
              <c:numCache>
                <c:formatCode>General</c:formatCode>
                <c:ptCount val="12"/>
                <c:pt idx="0">
                  <c:v>8.5440000000000005</c:v>
                </c:pt>
                <c:pt idx="1">
                  <c:v>7.1550000000000002</c:v>
                </c:pt>
                <c:pt idx="2">
                  <c:v>6.444</c:v>
                </c:pt>
                <c:pt idx="3">
                  <c:v>6.1970000000000001</c:v>
                </c:pt>
                <c:pt idx="4">
                  <c:v>5.7370000000000001</c:v>
                </c:pt>
                <c:pt idx="5">
                  <c:v>9.9710000000000001</c:v>
                </c:pt>
                <c:pt idx="6">
                  <c:v>13.39</c:v>
                </c:pt>
                <c:pt idx="7">
                  <c:v>14.04</c:v>
                </c:pt>
                <c:pt idx="8">
                  <c:v>20.46</c:v>
                </c:pt>
                <c:pt idx="9">
                  <c:v>18</c:v>
                </c:pt>
                <c:pt idx="10">
                  <c:v>13.69</c:v>
                </c:pt>
                <c:pt idx="11">
                  <c:v>10.11</c:v>
                </c:pt>
              </c:numCache>
            </c:numRef>
          </c:val>
          <c:smooth val="0"/>
          <c:extLst xmlns:c16r2="http://schemas.microsoft.com/office/drawing/2015/06/chart">
            <c:ext xmlns:c16="http://schemas.microsoft.com/office/drawing/2014/chart" uri="{C3380CC4-5D6E-409C-BE32-E72D297353CC}">
              <c16:uniqueId val="{00000001-98E7-4951-BC24-EF40481D5E4D}"/>
            </c:ext>
          </c:extLst>
        </c:ser>
        <c:ser>
          <c:idx val="2"/>
          <c:order val="2"/>
          <c:tx>
            <c:strRef>
              <c:f>'27005'!$D$1</c:f>
              <c:strCache>
                <c:ptCount val="1"/>
                <c:pt idx="0">
                  <c:v>Percentil 25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'27005'!$D$2:$D$13</c:f>
              <c:numCache>
                <c:formatCode>General</c:formatCode>
                <c:ptCount val="12"/>
                <c:pt idx="0">
                  <c:v>3.9209999999999998</c:v>
                </c:pt>
                <c:pt idx="1">
                  <c:v>3.8290000000000002</c:v>
                </c:pt>
                <c:pt idx="2">
                  <c:v>2.9319999999999999</c:v>
                </c:pt>
                <c:pt idx="3">
                  <c:v>2.4359999999999999</c:v>
                </c:pt>
                <c:pt idx="4">
                  <c:v>1.905</c:v>
                </c:pt>
                <c:pt idx="5">
                  <c:v>2.585</c:v>
                </c:pt>
                <c:pt idx="6">
                  <c:v>4.2409999999999997</c:v>
                </c:pt>
                <c:pt idx="7">
                  <c:v>4.7320000000000002</c:v>
                </c:pt>
                <c:pt idx="8">
                  <c:v>7.7069999999999999</c:v>
                </c:pt>
                <c:pt idx="9">
                  <c:v>6.7</c:v>
                </c:pt>
                <c:pt idx="10">
                  <c:v>5.3289999999999997</c:v>
                </c:pt>
                <c:pt idx="11">
                  <c:v>4.5839999999999996</c:v>
                </c:pt>
              </c:numCache>
            </c:numRef>
          </c:val>
          <c:smooth val="0"/>
          <c:extLst xmlns:c16r2="http://schemas.microsoft.com/office/drawing/2015/06/chart">
            <c:ext xmlns:c16="http://schemas.microsoft.com/office/drawing/2014/chart" uri="{C3380CC4-5D6E-409C-BE32-E72D297353CC}">
              <c16:uniqueId val="{00000002-98E7-4951-BC24-EF40481D5E4D}"/>
            </c:ext>
          </c:extLst>
        </c:ser>
        <c:ser>
          <c:idx val="3"/>
          <c:order val="3"/>
          <c:tx>
            <c:strRef>
              <c:f>'27005'!$E$1</c:f>
              <c:strCache>
                <c:ptCount val="1"/>
                <c:pt idx="0">
                  <c:v>Percentil 75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'27005'!$E$2:$E$13</c:f>
              <c:numCache>
                <c:formatCode>General</c:formatCode>
                <c:ptCount val="12"/>
                <c:pt idx="0">
                  <c:v>7.0339999999999998</c:v>
                </c:pt>
                <c:pt idx="1">
                  <c:v>5.6509999999999998</c:v>
                </c:pt>
                <c:pt idx="2">
                  <c:v>4.6989999999999998</c:v>
                </c:pt>
                <c:pt idx="3">
                  <c:v>4.6210000000000004</c:v>
                </c:pt>
                <c:pt idx="4">
                  <c:v>4.1559999999999997</c:v>
                </c:pt>
                <c:pt idx="5">
                  <c:v>6.8769999999999998</c:v>
                </c:pt>
                <c:pt idx="6">
                  <c:v>9.3000000000000007</c:v>
                </c:pt>
                <c:pt idx="7">
                  <c:v>9.4160000000000004</c:v>
                </c:pt>
                <c:pt idx="8">
                  <c:v>14.94</c:v>
                </c:pt>
                <c:pt idx="9">
                  <c:v>12.79</c:v>
                </c:pt>
                <c:pt idx="10">
                  <c:v>9.5280000000000005</c:v>
                </c:pt>
                <c:pt idx="11">
                  <c:v>8.1509999999999998</c:v>
                </c:pt>
              </c:numCache>
            </c:numRef>
          </c:val>
          <c:smooth val="0"/>
          <c:extLst xmlns:c16r2="http://schemas.microsoft.com/office/drawing/2015/06/chart">
            <c:ext xmlns:c16="http://schemas.microsoft.com/office/drawing/2014/chart" uri="{C3380CC4-5D6E-409C-BE32-E72D297353CC}">
              <c16:uniqueId val="{00000003-98E7-4951-BC24-EF40481D5E4D}"/>
            </c:ext>
          </c:extLst>
        </c:ser>
        <c:ser>
          <c:idx val="4"/>
          <c:order val="4"/>
          <c:tx>
            <c:strRef>
              <c:f>'27005'!$F$1</c:f>
              <c:strCache>
                <c:ptCount val="1"/>
                <c:pt idx="0">
                  <c:v> RHN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'27005'!$F$2:$F$13</c:f>
              <c:numCache>
                <c:formatCode>General</c:formatCode>
                <c:ptCount val="12"/>
                <c:pt idx="0">
                  <c:v>4.9950000000000001</c:v>
                </c:pt>
                <c:pt idx="1">
                  <c:v>4.5250000000000004</c:v>
                </c:pt>
                <c:pt idx="2">
                  <c:v>3.5649999999999999</c:v>
                </c:pt>
                <c:pt idx="3">
                  <c:v>3.3340000000000001</c:v>
                </c:pt>
                <c:pt idx="4">
                  <c:v>3.12</c:v>
                </c:pt>
                <c:pt idx="5">
                  <c:v>3.113</c:v>
                </c:pt>
                <c:pt idx="6">
                  <c:v>6.3079999999999998</c:v>
                </c:pt>
                <c:pt idx="7">
                  <c:v>7.0629999999999997</c:v>
                </c:pt>
                <c:pt idx="8">
                  <c:v>10.95</c:v>
                </c:pt>
                <c:pt idx="9">
                  <c:v>9.6280000000000001</c:v>
                </c:pt>
                <c:pt idx="10">
                  <c:v>7.351</c:v>
                </c:pt>
                <c:pt idx="11">
                  <c:v>5.7169999999999996</c:v>
                </c:pt>
              </c:numCache>
            </c:numRef>
          </c:val>
          <c:smooth val="0"/>
          <c:extLst xmlns:c16r2="http://schemas.microsoft.com/office/drawing/2015/06/chart">
            <c:ext xmlns:c16="http://schemas.microsoft.com/office/drawing/2014/chart" uri="{C3380CC4-5D6E-409C-BE32-E72D297353CC}">
              <c16:uniqueId val="{00000004-98E7-4951-BC24-EF40481D5E4D}"/>
            </c:ext>
          </c:extLst>
        </c:ser>
        <c:dLbls>
          <c:showLegendKey val="0"/>
          <c:showVal val="0"/>
          <c:showCatName val="0"/>
          <c:showSerName val="0"/>
          <c:showPercent val="0"/>
          <c:showBubbleSize val="0"/>
        </c:dLbls>
        <c:marker val="1"/>
        <c:smooth val="0"/>
        <c:axId val="140433096"/>
        <c:axId val="201608776"/>
      </c:lineChart>
      <c:catAx>
        <c:axId val="14043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608776"/>
        <c:crosses val="autoZero"/>
        <c:auto val="1"/>
        <c:lblAlgn val="ctr"/>
        <c:lblOffset val="100"/>
        <c:noMultiLvlLbl val="0"/>
      </c:catAx>
      <c:valAx>
        <c:axId val="201608776"/>
        <c:scaling>
          <c:orientation val="minMax"/>
          <c:max val="2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200" b="0" i="0" baseline="0">
                    <a:effectLst/>
                  </a:rPr>
                  <a:t>Gasto (m3/s)</a:t>
                </a:r>
                <a:endParaRPr lang="es-MX" sz="7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0433096"/>
        <c:crosses val="autoZero"/>
        <c:crossBetween val="between"/>
        <c:majorUnit val="2"/>
        <c:min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MX" sz="1400" b="0" i="0" baseline="0">
                <a:effectLst/>
              </a:rPr>
              <a:t>Percentiles y RHN para la estación 27006</a:t>
            </a:r>
            <a:endParaRPr lang="es-MX" sz="11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MX"/>
        </a:p>
      </c:txPr>
    </c:title>
    <c:autoTitleDeleted val="0"/>
    <c:plotArea>
      <c:layout/>
      <c:lineChart>
        <c:grouping val="standard"/>
        <c:varyColors val="0"/>
        <c:ser>
          <c:idx val="0"/>
          <c:order val="0"/>
          <c:tx>
            <c:strRef>
              <c:f>'27006'!$B$1</c:f>
              <c:strCache>
                <c:ptCount val="1"/>
                <c:pt idx="0">
                  <c:v>Percentil 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'27006'!$B$2:$B$13</c:f>
              <c:numCache>
                <c:formatCode>General</c:formatCode>
                <c:ptCount val="12"/>
                <c:pt idx="0">
                  <c:v>5.343</c:v>
                </c:pt>
                <c:pt idx="1">
                  <c:v>5.5110000000000001</c:v>
                </c:pt>
                <c:pt idx="2">
                  <c:v>4.4939999999999998</c:v>
                </c:pt>
                <c:pt idx="3">
                  <c:v>4.1319999999999997</c:v>
                </c:pt>
                <c:pt idx="4">
                  <c:v>3.1110000000000002</c:v>
                </c:pt>
                <c:pt idx="5">
                  <c:v>3.71</c:v>
                </c:pt>
                <c:pt idx="6">
                  <c:v>5.2089999999999996</c:v>
                </c:pt>
                <c:pt idx="7">
                  <c:v>4.2649999999999997</c:v>
                </c:pt>
                <c:pt idx="8">
                  <c:v>7.3949999999999996</c:v>
                </c:pt>
                <c:pt idx="9">
                  <c:v>9.9380000000000006</c:v>
                </c:pt>
                <c:pt idx="10">
                  <c:v>7.835</c:v>
                </c:pt>
                <c:pt idx="11">
                  <c:v>5.83</c:v>
                </c:pt>
              </c:numCache>
            </c:numRef>
          </c:val>
          <c:smooth val="0"/>
          <c:extLst xmlns:c16r2="http://schemas.microsoft.com/office/drawing/2015/06/chart">
            <c:ext xmlns:c16="http://schemas.microsoft.com/office/drawing/2014/chart" uri="{C3380CC4-5D6E-409C-BE32-E72D297353CC}">
              <c16:uniqueId val="{00000000-1923-4233-AAE0-76F266250EFE}"/>
            </c:ext>
          </c:extLst>
        </c:ser>
        <c:ser>
          <c:idx val="1"/>
          <c:order val="1"/>
          <c:tx>
            <c:strRef>
              <c:f>'27006'!$C$1</c:f>
              <c:strCache>
                <c:ptCount val="1"/>
                <c:pt idx="0">
                  <c:v>Percentil 90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'27006'!$C$2:$C$13</c:f>
              <c:numCache>
                <c:formatCode>General</c:formatCode>
                <c:ptCount val="12"/>
                <c:pt idx="0">
                  <c:v>18.84</c:v>
                </c:pt>
                <c:pt idx="1">
                  <c:v>16.45</c:v>
                </c:pt>
                <c:pt idx="2">
                  <c:v>14.87</c:v>
                </c:pt>
                <c:pt idx="3">
                  <c:v>17.47</c:v>
                </c:pt>
                <c:pt idx="4">
                  <c:v>14.31</c:v>
                </c:pt>
                <c:pt idx="5">
                  <c:v>17.64</c:v>
                </c:pt>
                <c:pt idx="6">
                  <c:v>21.93</c:v>
                </c:pt>
                <c:pt idx="7">
                  <c:v>20.350000000000001</c:v>
                </c:pt>
                <c:pt idx="8">
                  <c:v>30.01</c:v>
                </c:pt>
                <c:pt idx="9">
                  <c:v>29.03</c:v>
                </c:pt>
                <c:pt idx="10">
                  <c:v>28.01</c:v>
                </c:pt>
                <c:pt idx="11">
                  <c:v>31.46</c:v>
                </c:pt>
              </c:numCache>
            </c:numRef>
          </c:val>
          <c:smooth val="0"/>
          <c:extLst xmlns:c16r2="http://schemas.microsoft.com/office/drawing/2015/06/chart">
            <c:ext xmlns:c16="http://schemas.microsoft.com/office/drawing/2014/chart" uri="{C3380CC4-5D6E-409C-BE32-E72D297353CC}">
              <c16:uniqueId val="{00000001-1923-4233-AAE0-76F266250EFE}"/>
            </c:ext>
          </c:extLst>
        </c:ser>
        <c:ser>
          <c:idx val="2"/>
          <c:order val="2"/>
          <c:tx>
            <c:strRef>
              <c:f>'27006'!$D$1</c:f>
              <c:strCache>
                <c:ptCount val="1"/>
                <c:pt idx="0">
                  <c:v>Percentil 25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'27006'!$D$2:$D$13</c:f>
              <c:numCache>
                <c:formatCode>General</c:formatCode>
                <c:ptCount val="12"/>
                <c:pt idx="0">
                  <c:v>7.9409999999999998</c:v>
                </c:pt>
                <c:pt idx="1">
                  <c:v>6.5</c:v>
                </c:pt>
                <c:pt idx="2">
                  <c:v>5.5209999999999999</c:v>
                </c:pt>
                <c:pt idx="3">
                  <c:v>4.6609999999999996</c:v>
                </c:pt>
                <c:pt idx="4">
                  <c:v>3.9689999999999999</c:v>
                </c:pt>
                <c:pt idx="5">
                  <c:v>5.3159999999999998</c:v>
                </c:pt>
                <c:pt idx="6">
                  <c:v>7.2409999999999997</c:v>
                </c:pt>
                <c:pt idx="7">
                  <c:v>6.5720000000000001</c:v>
                </c:pt>
                <c:pt idx="8">
                  <c:v>10.15</c:v>
                </c:pt>
                <c:pt idx="9">
                  <c:v>12.33</c:v>
                </c:pt>
                <c:pt idx="10">
                  <c:v>10.18</c:v>
                </c:pt>
                <c:pt idx="11">
                  <c:v>8.6</c:v>
                </c:pt>
              </c:numCache>
            </c:numRef>
          </c:val>
          <c:smooth val="0"/>
          <c:extLst xmlns:c16r2="http://schemas.microsoft.com/office/drawing/2015/06/chart">
            <c:ext xmlns:c16="http://schemas.microsoft.com/office/drawing/2014/chart" uri="{C3380CC4-5D6E-409C-BE32-E72D297353CC}">
              <c16:uniqueId val="{00000002-1923-4233-AAE0-76F266250EFE}"/>
            </c:ext>
          </c:extLst>
        </c:ser>
        <c:ser>
          <c:idx val="3"/>
          <c:order val="3"/>
          <c:tx>
            <c:strRef>
              <c:f>'27006'!$E$1</c:f>
              <c:strCache>
                <c:ptCount val="1"/>
                <c:pt idx="0">
                  <c:v>Percentil 75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'27006'!$E$2:$E$13</c:f>
              <c:numCache>
                <c:formatCode>General</c:formatCode>
                <c:ptCount val="12"/>
                <c:pt idx="0">
                  <c:v>14.14</c:v>
                </c:pt>
                <c:pt idx="1">
                  <c:v>13.34</c:v>
                </c:pt>
                <c:pt idx="2">
                  <c:v>11.51</c:v>
                </c:pt>
                <c:pt idx="3">
                  <c:v>9.6739999999999995</c:v>
                </c:pt>
                <c:pt idx="4">
                  <c:v>9.5459999999999994</c:v>
                </c:pt>
                <c:pt idx="5">
                  <c:v>11.12</c:v>
                </c:pt>
                <c:pt idx="6">
                  <c:v>14.67</c:v>
                </c:pt>
                <c:pt idx="7">
                  <c:v>15.63</c:v>
                </c:pt>
                <c:pt idx="8">
                  <c:v>25.64</c:v>
                </c:pt>
                <c:pt idx="9">
                  <c:v>24.79</c:v>
                </c:pt>
                <c:pt idx="10">
                  <c:v>17.7</c:v>
                </c:pt>
                <c:pt idx="11">
                  <c:v>17.78</c:v>
                </c:pt>
              </c:numCache>
            </c:numRef>
          </c:val>
          <c:smooth val="0"/>
          <c:extLst xmlns:c16r2="http://schemas.microsoft.com/office/drawing/2015/06/chart">
            <c:ext xmlns:c16="http://schemas.microsoft.com/office/drawing/2014/chart" uri="{C3380CC4-5D6E-409C-BE32-E72D297353CC}">
              <c16:uniqueId val="{00000003-1923-4233-AAE0-76F266250EFE}"/>
            </c:ext>
          </c:extLst>
        </c:ser>
        <c:ser>
          <c:idx val="4"/>
          <c:order val="4"/>
          <c:tx>
            <c:strRef>
              <c:f>'27006'!$F$1</c:f>
              <c:strCache>
                <c:ptCount val="1"/>
                <c:pt idx="0">
                  <c:v> RHN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'27006'!$F$2:$F$13</c:f>
              <c:numCache>
                <c:formatCode>General</c:formatCode>
                <c:ptCount val="12"/>
                <c:pt idx="0">
                  <c:v>9.5</c:v>
                </c:pt>
                <c:pt idx="1">
                  <c:v>8.9909999999999997</c:v>
                </c:pt>
                <c:pt idx="2">
                  <c:v>7.2380000000000004</c:v>
                </c:pt>
                <c:pt idx="3">
                  <c:v>6.4610000000000003</c:v>
                </c:pt>
                <c:pt idx="4">
                  <c:v>5.9880000000000004</c:v>
                </c:pt>
                <c:pt idx="5">
                  <c:v>7.0679999999999996</c:v>
                </c:pt>
                <c:pt idx="6">
                  <c:v>10.19</c:v>
                </c:pt>
                <c:pt idx="7">
                  <c:v>11.11</c:v>
                </c:pt>
                <c:pt idx="8">
                  <c:v>15.51</c:v>
                </c:pt>
                <c:pt idx="9">
                  <c:v>16.690000000000001</c:v>
                </c:pt>
                <c:pt idx="10">
                  <c:v>14.79</c:v>
                </c:pt>
                <c:pt idx="11">
                  <c:v>13.42</c:v>
                </c:pt>
              </c:numCache>
            </c:numRef>
          </c:val>
          <c:smooth val="0"/>
          <c:extLst xmlns:c16r2="http://schemas.microsoft.com/office/drawing/2015/06/chart">
            <c:ext xmlns:c16="http://schemas.microsoft.com/office/drawing/2014/chart" uri="{C3380CC4-5D6E-409C-BE32-E72D297353CC}">
              <c16:uniqueId val="{00000004-1923-4233-AAE0-76F266250EFE}"/>
            </c:ext>
          </c:extLst>
        </c:ser>
        <c:dLbls>
          <c:showLegendKey val="0"/>
          <c:showVal val="0"/>
          <c:showCatName val="0"/>
          <c:showSerName val="0"/>
          <c:showPercent val="0"/>
          <c:showBubbleSize val="0"/>
        </c:dLbls>
        <c:marker val="1"/>
        <c:smooth val="0"/>
        <c:axId val="201609952"/>
        <c:axId val="201610344"/>
      </c:lineChart>
      <c:catAx>
        <c:axId val="2016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610344"/>
        <c:crosses val="autoZero"/>
        <c:auto val="1"/>
        <c:lblAlgn val="ctr"/>
        <c:lblOffset val="100"/>
        <c:noMultiLvlLbl val="0"/>
      </c:catAx>
      <c:valAx>
        <c:axId val="201610344"/>
        <c:scaling>
          <c:orientation val="minMax"/>
          <c:max val="3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200" b="0" i="0" baseline="0">
                    <a:effectLst/>
                  </a:rPr>
                  <a:t>Gasto (m3/s)</a:t>
                </a:r>
                <a:endParaRPr lang="es-MX" sz="7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609952"/>
        <c:crosses val="autoZero"/>
        <c:crossBetween val="between"/>
        <c:majorUnit val="4"/>
        <c:min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r>
              <a:rPr lang="es-MX" sz="1800" b="0" i="0" baseline="0">
                <a:effectLst/>
              </a:rPr>
              <a:t>Análisis de variabilidad en el RHA y RHN para la estación </a:t>
            </a:r>
            <a:r>
              <a:rPr lang="es-MX" sz="1800"/>
              <a:t>28111</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endParaRPr lang="es-MX"/>
        </a:p>
      </c:txPr>
    </c:title>
    <c:autoTitleDeleted val="0"/>
    <c:plotArea>
      <c:layout>
        <c:manualLayout>
          <c:layoutTarget val="inner"/>
          <c:xMode val="edge"/>
          <c:yMode val="edge"/>
          <c:x val="9.6996096641765908E-2"/>
          <c:y val="0.25854696941952021"/>
          <c:w val="0.89232014267447335"/>
          <c:h val="0.45077855093694685"/>
        </c:manualLayout>
      </c:layout>
      <c:lineChart>
        <c:grouping val="standard"/>
        <c:varyColors val="0"/>
        <c:ser>
          <c:idx val="0"/>
          <c:order val="0"/>
          <c:tx>
            <c:strRef>
              <c:f>'28111'!$B$1</c:f>
              <c:strCache>
                <c:ptCount val="1"/>
                <c:pt idx="0">
                  <c:v>Percentil 10</c:v>
                </c:pt>
              </c:strCache>
            </c:strRef>
          </c:tx>
          <c:spPr>
            <a:ln w="15875" cap="rnd">
              <a:solidFill>
                <a:schemeClr val="accent1"/>
              </a:solidFill>
              <a:prstDash val="sysDash"/>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'28111'!$B$2:$B$13</c:f>
              <c:numCache>
                <c:formatCode>General</c:formatCode>
                <c:ptCount val="12"/>
                <c:pt idx="0">
                  <c:v>0.74099999999999999</c:v>
                </c:pt>
                <c:pt idx="1">
                  <c:v>0.56999999999999995</c:v>
                </c:pt>
                <c:pt idx="2">
                  <c:v>0.48399999999999999</c:v>
                </c:pt>
                <c:pt idx="3">
                  <c:v>0.309</c:v>
                </c:pt>
                <c:pt idx="4">
                  <c:v>0.34499999999999997</c:v>
                </c:pt>
                <c:pt idx="5">
                  <c:v>0.46500000000000002</c:v>
                </c:pt>
                <c:pt idx="6">
                  <c:v>2.54</c:v>
                </c:pt>
                <c:pt idx="7">
                  <c:v>1.264</c:v>
                </c:pt>
                <c:pt idx="8">
                  <c:v>1.92</c:v>
                </c:pt>
                <c:pt idx="9">
                  <c:v>1.0580000000000001</c:v>
                </c:pt>
                <c:pt idx="10">
                  <c:v>0.83750000000000002</c:v>
                </c:pt>
                <c:pt idx="11">
                  <c:v>0.72499999999999998</c:v>
                </c:pt>
              </c:numCache>
            </c:numRef>
          </c:val>
          <c:smooth val="0"/>
          <c:extLst xmlns:c16r2="http://schemas.microsoft.com/office/drawing/2015/06/chart">
            <c:ext xmlns:c16="http://schemas.microsoft.com/office/drawing/2014/chart" uri="{C3380CC4-5D6E-409C-BE32-E72D297353CC}">
              <c16:uniqueId val="{00000000-F968-4CC7-9DC5-6432EBC83F0C}"/>
            </c:ext>
          </c:extLst>
        </c:ser>
        <c:ser>
          <c:idx val="1"/>
          <c:order val="1"/>
          <c:tx>
            <c:strRef>
              <c:f>'28111'!$C$1</c:f>
              <c:strCache>
                <c:ptCount val="1"/>
                <c:pt idx="0">
                  <c:v>Percentil 90</c:v>
                </c:pt>
              </c:strCache>
            </c:strRef>
          </c:tx>
          <c:spPr>
            <a:ln w="15875" cap="rnd">
              <a:solidFill>
                <a:schemeClr val="accent2"/>
              </a:solidFill>
              <a:prstDash val="sysDash"/>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'28111'!$C$2:$C$13</c:f>
              <c:numCache>
                <c:formatCode>General</c:formatCode>
                <c:ptCount val="12"/>
                <c:pt idx="0">
                  <c:v>1.405</c:v>
                </c:pt>
                <c:pt idx="1">
                  <c:v>1.679</c:v>
                </c:pt>
                <c:pt idx="2">
                  <c:v>1.304</c:v>
                </c:pt>
                <c:pt idx="3">
                  <c:v>1.125</c:v>
                </c:pt>
                <c:pt idx="4">
                  <c:v>2.7469999999999999</c:v>
                </c:pt>
                <c:pt idx="5">
                  <c:v>1.81</c:v>
                </c:pt>
                <c:pt idx="6">
                  <c:v>5.6890000000000001</c:v>
                </c:pt>
                <c:pt idx="7">
                  <c:v>5.1890000000000001</c:v>
                </c:pt>
                <c:pt idx="8">
                  <c:v>4.8849999999999998</c:v>
                </c:pt>
                <c:pt idx="9">
                  <c:v>6.8159999999999998</c:v>
                </c:pt>
                <c:pt idx="10">
                  <c:v>3.4830000000000001</c:v>
                </c:pt>
                <c:pt idx="11">
                  <c:v>1.982</c:v>
                </c:pt>
              </c:numCache>
            </c:numRef>
          </c:val>
          <c:smooth val="0"/>
          <c:extLst xmlns:c16r2="http://schemas.microsoft.com/office/drawing/2015/06/chart">
            <c:ext xmlns:c16="http://schemas.microsoft.com/office/drawing/2014/chart" uri="{C3380CC4-5D6E-409C-BE32-E72D297353CC}">
              <c16:uniqueId val="{00000001-F968-4CC7-9DC5-6432EBC83F0C}"/>
            </c:ext>
          </c:extLst>
        </c:ser>
        <c:ser>
          <c:idx val="2"/>
          <c:order val="2"/>
          <c:tx>
            <c:strRef>
              <c:f>'28111'!$D$1</c:f>
              <c:strCache>
                <c:ptCount val="1"/>
                <c:pt idx="0">
                  <c:v>Percentil 25</c:v>
                </c:pt>
              </c:strCache>
            </c:strRef>
          </c:tx>
          <c:spPr>
            <a:ln w="15875" cap="rnd">
              <a:solidFill>
                <a:schemeClr val="accent3"/>
              </a:solidFill>
              <a:prstDash val="sysDash"/>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'28111'!$D$2:$D$13</c:f>
              <c:numCache>
                <c:formatCode>General</c:formatCode>
                <c:ptCount val="12"/>
                <c:pt idx="0">
                  <c:v>0.77249999999999996</c:v>
                </c:pt>
                <c:pt idx="1">
                  <c:v>0.58350000000000002</c:v>
                </c:pt>
                <c:pt idx="2">
                  <c:v>0.49149999999999999</c:v>
                </c:pt>
                <c:pt idx="3">
                  <c:v>0.34279999999999999</c:v>
                </c:pt>
                <c:pt idx="4">
                  <c:v>0.40820000000000001</c:v>
                </c:pt>
                <c:pt idx="5">
                  <c:v>0.4763</c:v>
                </c:pt>
                <c:pt idx="6">
                  <c:v>3.0459999999999998</c:v>
                </c:pt>
                <c:pt idx="7">
                  <c:v>2.0670000000000002</c:v>
                </c:pt>
                <c:pt idx="8">
                  <c:v>2.274</c:v>
                </c:pt>
                <c:pt idx="9">
                  <c:v>1.6479999999999999</c:v>
                </c:pt>
                <c:pt idx="10">
                  <c:v>1.028</c:v>
                </c:pt>
                <c:pt idx="11">
                  <c:v>0.81799999999999995</c:v>
                </c:pt>
              </c:numCache>
            </c:numRef>
          </c:val>
          <c:smooth val="0"/>
          <c:extLst xmlns:c16r2="http://schemas.microsoft.com/office/drawing/2015/06/chart">
            <c:ext xmlns:c16="http://schemas.microsoft.com/office/drawing/2014/chart" uri="{C3380CC4-5D6E-409C-BE32-E72D297353CC}">
              <c16:uniqueId val="{00000002-F968-4CC7-9DC5-6432EBC83F0C}"/>
            </c:ext>
          </c:extLst>
        </c:ser>
        <c:ser>
          <c:idx val="3"/>
          <c:order val="3"/>
          <c:tx>
            <c:strRef>
              <c:f>'28111'!$E$1</c:f>
              <c:strCache>
                <c:ptCount val="1"/>
                <c:pt idx="0">
                  <c:v>Percentil 75</c:v>
                </c:pt>
              </c:strCache>
            </c:strRef>
          </c:tx>
          <c:spPr>
            <a:ln w="15875" cap="rnd">
              <a:solidFill>
                <a:schemeClr val="accent4"/>
              </a:solidFill>
              <a:prstDash val="sysDash"/>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'28111'!$E$2:$E$13</c:f>
              <c:numCache>
                <c:formatCode>General</c:formatCode>
                <c:ptCount val="12"/>
                <c:pt idx="0">
                  <c:v>1.2869999999999999</c:v>
                </c:pt>
                <c:pt idx="1">
                  <c:v>1.2529999999999999</c:v>
                </c:pt>
                <c:pt idx="2">
                  <c:v>0.86960000000000004</c:v>
                </c:pt>
                <c:pt idx="3">
                  <c:v>0.71389999999999998</c:v>
                </c:pt>
                <c:pt idx="4">
                  <c:v>1.3420000000000001</c:v>
                </c:pt>
                <c:pt idx="5">
                  <c:v>1.702</c:v>
                </c:pt>
                <c:pt idx="6">
                  <c:v>4.7469999999999999</c:v>
                </c:pt>
                <c:pt idx="7">
                  <c:v>3.8719999999999999</c:v>
                </c:pt>
                <c:pt idx="8">
                  <c:v>4.2569999999999997</c:v>
                </c:pt>
                <c:pt idx="9">
                  <c:v>5.6230000000000002</c:v>
                </c:pt>
                <c:pt idx="10">
                  <c:v>2.677</c:v>
                </c:pt>
                <c:pt idx="11">
                  <c:v>1.792</c:v>
                </c:pt>
              </c:numCache>
            </c:numRef>
          </c:val>
          <c:smooth val="0"/>
          <c:extLst xmlns:c16r2="http://schemas.microsoft.com/office/drawing/2015/06/chart">
            <c:ext xmlns:c16="http://schemas.microsoft.com/office/drawing/2014/chart" uri="{C3380CC4-5D6E-409C-BE32-E72D297353CC}">
              <c16:uniqueId val="{00000003-F968-4CC7-9DC5-6432EBC83F0C}"/>
            </c:ext>
          </c:extLst>
        </c:ser>
        <c:ser>
          <c:idx val="4"/>
          <c:order val="4"/>
          <c:tx>
            <c:strRef>
              <c:f>'28111'!$F$1</c:f>
              <c:strCache>
                <c:ptCount val="1"/>
                <c:pt idx="0">
                  <c:v> RHN</c:v>
                </c:pt>
              </c:strCache>
            </c:strRef>
          </c:tx>
          <c:spPr>
            <a:ln w="22225" cap="rnd">
              <a:solidFill>
                <a:srgbClr val="00B050"/>
              </a:solidFill>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'28111'!$F$2:$F$13</c:f>
              <c:numCache>
                <c:formatCode>General</c:formatCode>
                <c:ptCount val="12"/>
                <c:pt idx="0">
                  <c:v>0.91790000000000005</c:v>
                </c:pt>
                <c:pt idx="1">
                  <c:v>0.72</c:v>
                </c:pt>
                <c:pt idx="2">
                  <c:v>0.59799999999999998</c:v>
                </c:pt>
                <c:pt idx="3">
                  <c:v>0.39179999999999998</c:v>
                </c:pt>
                <c:pt idx="4">
                  <c:v>0.51800000000000002</c:v>
                </c:pt>
                <c:pt idx="5">
                  <c:v>0.54079999999999995</c:v>
                </c:pt>
                <c:pt idx="6">
                  <c:v>4.359</c:v>
                </c:pt>
                <c:pt idx="7">
                  <c:v>3.25</c:v>
                </c:pt>
                <c:pt idx="8">
                  <c:v>2.8660000000000001</c:v>
                </c:pt>
                <c:pt idx="9">
                  <c:v>3.59</c:v>
                </c:pt>
                <c:pt idx="10">
                  <c:v>1.6040000000000001</c:v>
                </c:pt>
                <c:pt idx="11">
                  <c:v>1.246</c:v>
                </c:pt>
              </c:numCache>
            </c:numRef>
          </c:val>
          <c:smooth val="0"/>
          <c:extLst xmlns:c16r2="http://schemas.microsoft.com/office/drawing/2015/06/chart">
            <c:ext xmlns:c16="http://schemas.microsoft.com/office/drawing/2014/chart" uri="{C3380CC4-5D6E-409C-BE32-E72D297353CC}">
              <c16:uniqueId val="{00000004-F968-4CC7-9DC5-6432EBC83F0C}"/>
            </c:ext>
          </c:extLst>
        </c:ser>
        <c:ser>
          <c:idx val="5"/>
          <c:order val="5"/>
          <c:tx>
            <c:strRef>
              <c:f>'28111'!$G$1</c:f>
              <c:strCache>
                <c:ptCount val="1"/>
                <c:pt idx="0">
                  <c:v>RHA</c:v>
                </c:pt>
              </c:strCache>
            </c:strRef>
          </c:tx>
          <c:spPr>
            <a:ln w="22225" cap="rnd">
              <a:solidFill>
                <a:srgbClr val="FF0000"/>
              </a:solidFill>
              <a:round/>
            </a:ln>
            <a:effectLst/>
          </c:spPr>
          <c:marker>
            <c:symbol val="none"/>
          </c:marker>
          <c:cat>
            <c:strRef>
              <c:f>'28108'!$A$2:$A$13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'28111'!$G$2:$G$13</c:f>
              <c:numCache>
                <c:formatCode>General</c:formatCode>
                <c:ptCount val="12"/>
                <c:pt idx="0">
                  <c:v>1.2849999999999999</c:v>
                </c:pt>
                <c:pt idx="1">
                  <c:v>1.1120000000000001</c:v>
                </c:pt>
                <c:pt idx="2">
                  <c:v>0.84019999999999995</c:v>
                </c:pt>
                <c:pt idx="3">
                  <c:v>0.78300000000000003</c:v>
                </c:pt>
                <c:pt idx="4">
                  <c:v>0.88900000000000001</c:v>
                </c:pt>
                <c:pt idx="5">
                  <c:v>2.5910000000000002</c:v>
                </c:pt>
                <c:pt idx="6">
                  <c:v>4.9749999999999996</c:v>
                </c:pt>
                <c:pt idx="7">
                  <c:v>3.3980000000000001</c:v>
                </c:pt>
                <c:pt idx="8">
                  <c:v>5.1230000000000002</c:v>
                </c:pt>
                <c:pt idx="9">
                  <c:v>3.4849999999999999</c:v>
                </c:pt>
                <c:pt idx="10">
                  <c:v>2.016</c:v>
                </c:pt>
                <c:pt idx="11">
                  <c:v>1.4670000000000001</c:v>
                </c:pt>
              </c:numCache>
            </c:numRef>
          </c:val>
          <c:smooth val="0"/>
          <c:extLst xmlns:c16r2="http://schemas.microsoft.com/office/drawing/2015/06/chart">
            <c:ext xmlns:c16="http://schemas.microsoft.com/office/drawing/2014/chart" uri="{C3380CC4-5D6E-409C-BE32-E72D297353CC}">
              <c16:uniqueId val="{00000005-F968-4CC7-9DC5-6432EBC83F0C}"/>
            </c:ext>
          </c:extLst>
        </c:ser>
        <c:dLbls>
          <c:showLegendKey val="0"/>
          <c:showVal val="0"/>
          <c:showCatName val="0"/>
          <c:showSerName val="0"/>
          <c:showPercent val="0"/>
          <c:showBubbleSize val="0"/>
        </c:dLbls>
        <c:smooth val="0"/>
        <c:axId val="140436624"/>
        <c:axId val="201610736"/>
      </c:lineChart>
      <c:catAx>
        <c:axId val="14043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MX"/>
          </a:p>
        </c:txPr>
        <c:crossAx val="201610736"/>
        <c:crosses val="autoZero"/>
        <c:auto val="1"/>
        <c:lblAlgn val="ctr"/>
        <c:lblOffset val="100"/>
        <c:noMultiLvlLbl val="0"/>
      </c:catAx>
      <c:valAx>
        <c:axId val="201610736"/>
        <c:scaling>
          <c:orientation val="minMax"/>
          <c:max val="7"/>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a:t>Gasto (m3/s)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0436624"/>
        <c:crosses val="autoZero"/>
        <c:crossBetween val="between"/>
      </c:valAx>
      <c:spPr>
        <a:noFill/>
        <a:ln>
          <a:noFill/>
        </a:ln>
        <a:effectLst/>
      </c:spPr>
    </c:plotArea>
    <c:legend>
      <c:legendPos val="t"/>
      <c:layout>
        <c:manualLayout>
          <c:xMode val="edge"/>
          <c:yMode val="edge"/>
          <c:x val="5.8547008547008547E-2"/>
          <c:y val="0.91406976744186041"/>
          <c:w val="0.9"/>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1300</Words>
  <Characters>7151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Autonoma Chapingo</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TADS</dc:creator>
  <cp:lastModifiedBy>Zetina Robleda Edwin Fernando</cp:lastModifiedBy>
  <cp:revision>10</cp:revision>
  <dcterms:created xsi:type="dcterms:W3CDTF">2017-01-25T06:57:00Z</dcterms:created>
  <dcterms:modified xsi:type="dcterms:W3CDTF">2017-09-26T05:02:00Z</dcterms:modified>
</cp:coreProperties>
</file>